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6A4" w:rsidRDefault="00E363D0">
      <w:pPr>
        <w:tabs>
          <w:tab w:val="left" w:pos="1770"/>
        </w:tabs>
        <w:ind w:left="216"/>
        <w:rPr>
          <w:sz w:val="20"/>
        </w:rPr>
      </w:pPr>
      <w:r>
        <w:rPr>
          <w:noProof/>
          <w:position w:val="7"/>
          <w:sz w:val="20"/>
          <w:lang w:bidi="ar-SA"/>
        </w:rPr>
        <w:drawing>
          <wp:inline distT="0" distB="0" distL="0" distR="0">
            <wp:extent cx="794372" cy="79629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372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8pt;height:59.25pt;mso-left-percent:-10001;mso-top-percent:-10001;mso-position-horizontal:absolute;mso-position-horizontal-relative:char;mso-position-vertical:absolute;mso-position-vertical-relative:line;mso-left-percent:-10001;mso-top-percent:-10001" fillcolor="#009cd6" stroked="f">
            <v:textbox inset="0,0,0,0">
              <w:txbxContent>
                <w:p w:rsidR="00B546A4" w:rsidRDefault="00E363D0">
                  <w:pPr>
                    <w:spacing w:before="70"/>
                    <w:ind w:left="1170" w:right="1171"/>
                    <w:jc w:val="center"/>
                    <w:rPr>
                      <w:rFonts w:ascii="Arial"/>
                      <w:b/>
                      <w:sz w:val="40"/>
                    </w:rPr>
                  </w:pPr>
                  <w:r>
                    <w:rPr>
                      <w:rFonts w:ascii="Arial"/>
                      <w:b/>
                      <w:sz w:val="40"/>
                    </w:rPr>
                    <w:t>Drinking Water</w:t>
                  </w:r>
                </w:p>
                <w:p w:rsidR="00B546A4" w:rsidRDefault="00E363D0">
                  <w:pPr>
                    <w:spacing w:before="97"/>
                    <w:ind w:left="1170" w:right="1171"/>
                    <w:jc w:val="center"/>
                    <w:rPr>
                      <w:rFonts w:ascii="Arial"/>
                      <w:b/>
                      <w:sz w:val="40"/>
                    </w:rPr>
                  </w:pPr>
                  <w:r>
                    <w:rPr>
                      <w:rFonts w:ascii="Arial"/>
                      <w:b/>
                      <w:sz w:val="40"/>
                    </w:rPr>
                    <w:t>Cross-Connection Control Programs</w:t>
                  </w:r>
                </w:p>
              </w:txbxContent>
            </v:textbox>
            <w10:wrap type="none"/>
            <w10:anchorlock/>
          </v:shape>
        </w:pict>
      </w:r>
    </w:p>
    <w:p w:rsidR="00B546A4" w:rsidRDefault="00B546A4">
      <w:pPr>
        <w:pStyle w:val="BodyText"/>
        <w:ind w:left="0" w:firstLine="0"/>
        <w:rPr>
          <w:sz w:val="6"/>
        </w:rPr>
      </w:pPr>
    </w:p>
    <w:p w:rsidR="00B546A4" w:rsidRDefault="00B546A4">
      <w:pPr>
        <w:rPr>
          <w:sz w:val="6"/>
        </w:rPr>
        <w:sectPr w:rsidR="00B546A4">
          <w:type w:val="continuous"/>
          <w:pgSz w:w="12240" w:h="15840"/>
          <w:pgMar w:top="440" w:right="760" w:bottom="280" w:left="240" w:header="720" w:footer="720" w:gutter="0"/>
          <w:cols w:space="720"/>
        </w:sectPr>
      </w:pPr>
    </w:p>
    <w:p w:rsidR="00B546A4" w:rsidRDefault="00E363D0">
      <w:pPr>
        <w:spacing w:before="66"/>
        <w:ind w:left="117" w:right="38" w:hanging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IDAHO DEPARTMENT OF ENVIRONMENTAL QUALITY</w:t>
      </w:r>
    </w:p>
    <w:p w:rsidR="00B546A4" w:rsidRDefault="00B546A4">
      <w:pPr>
        <w:pStyle w:val="BodyText"/>
        <w:spacing w:before="5"/>
        <w:ind w:left="0" w:firstLine="0"/>
        <w:rPr>
          <w:rFonts w:ascii="Arial"/>
          <w:b/>
          <w:sz w:val="14"/>
        </w:rPr>
      </w:pPr>
    </w:p>
    <w:p w:rsidR="00B546A4" w:rsidRDefault="00E363D0">
      <w:pPr>
        <w:ind w:left="182" w:right="104"/>
        <w:jc w:val="center"/>
        <w:rPr>
          <w:rFonts w:ascii="Arial"/>
          <w:sz w:val="14"/>
        </w:rPr>
      </w:pPr>
      <w:r>
        <w:rPr>
          <w:rFonts w:ascii="Arial"/>
          <w:sz w:val="14"/>
        </w:rPr>
        <w:t>1410 North Hilton</w:t>
      </w:r>
    </w:p>
    <w:p w:rsidR="00B546A4" w:rsidRDefault="00E363D0">
      <w:pPr>
        <w:ind w:left="182" w:right="106"/>
        <w:jc w:val="center"/>
        <w:rPr>
          <w:rFonts w:ascii="Arial"/>
          <w:sz w:val="14"/>
        </w:rPr>
      </w:pPr>
      <w:r>
        <w:rPr>
          <w:rFonts w:ascii="Arial"/>
          <w:sz w:val="14"/>
        </w:rPr>
        <w:t>Boise, ID</w:t>
      </w:r>
      <w:r>
        <w:rPr>
          <w:rFonts w:ascii="Arial"/>
          <w:spacing w:val="-7"/>
          <w:sz w:val="14"/>
        </w:rPr>
        <w:t xml:space="preserve"> </w:t>
      </w:r>
      <w:r>
        <w:rPr>
          <w:rFonts w:ascii="Arial"/>
          <w:sz w:val="14"/>
        </w:rPr>
        <w:t>83706</w:t>
      </w:r>
    </w:p>
    <w:p w:rsidR="00B546A4" w:rsidRDefault="00E363D0">
      <w:pPr>
        <w:ind w:left="182" w:right="106"/>
        <w:jc w:val="center"/>
        <w:rPr>
          <w:rFonts w:ascii="Arial"/>
          <w:sz w:val="14"/>
        </w:rPr>
      </w:pPr>
      <w:r>
        <w:rPr>
          <w:rFonts w:ascii="Arial"/>
          <w:sz w:val="14"/>
        </w:rPr>
        <w:t>(208)</w:t>
      </w:r>
      <w:r>
        <w:rPr>
          <w:rFonts w:ascii="Arial"/>
          <w:spacing w:val="-8"/>
          <w:sz w:val="14"/>
        </w:rPr>
        <w:t xml:space="preserve"> </w:t>
      </w:r>
      <w:r>
        <w:rPr>
          <w:rFonts w:ascii="Arial"/>
          <w:sz w:val="14"/>
        </w:rPr>
        <w:t>373-0502</w:t>
      </w:r>
    </w:p>
    <w:p w:rsidR="00B546A4" w:rsidRDefault="00B546A4">
      <w:pPr>
        <w:pStyle w:val="BodyText"/>
        <w:spacing w:before="11"/>
        <w:ind w:left="0" w:firstLine="0"/>
        <w:rPr>
          <w:rFonts w:ascii="Arial"/>
          <w:sz w:val="13"/>
        </w:rPr>
      </w:pPr>
    </w:p>
    <w:p w:rsidR="00B546A4" w:rsidRDefault="00E363D0">
      <w:pPr>
        <w:ind w:left="182" w:right="107"/>
        <w:jc w:val="center"/>
        <w:rPr>
          <w:rFonts w:ascii="Arial"/>
          <w:i/>
          <w:sz w:val="14"/>
        </w:rPr>
      </w:pPr>
      <w:hyperlink r:id="rId7">
        <w:r>
          <w:rPr>
            <w:rFonts w:ascii="Arial"/>
            <w:i/>
            <w:color w:val="006FC0"/>
            <w:sz w:val="14"/>
          </w:rPr>
          <w:t>www.deq.idaho.gov</w:t>
        </w:r>
      </w:hyperlink>
    </w:p>
    <w:p w:rsidR="00B546A4" w:rsidRDefault="00E363D0">
      <w:pPr>
        <w:pStyle w:val="BodyText"/>
        <w:ind w:left="0" w:firstLine="0"/>
        <w:rPr>
          <w:rFonts w:ascii="Arial"/>
          <w:i/>
          <w:sz w:val="29"/>
        </w:rPr>
      </w:pPr>
      <w:r>
        <w:br w:type="column"/>
      </w:r>
    </w:p>
    <w:p w:rsidR="00B546A4" w:rsidRDefault="00E363D0">
      <w:pPr>
        <w:pStyle w:val="Heading1"/>
        <w:spacing w:before="0"/>
        <w:ind w:left="117"/>
      </w:pPr>
      <w:r>
        <w:t>What is a Cross-Connection?</w:t>
      </w:r>
    </w:p>
    <w:p w:rsidR="00B546A4" w:rsidRDefault="00E363D0">
      <w:pPr>
        <w:pStyle w:val="BodyText"/>
        <w:spacing w:before="148"/>
        <w:ind w:left="117" w:right="180" w:firstLine="0"/>
      </w:pPr>
      <w:r>
        <w:t xml:space="preserve">A cross-connection is an actual or potential connection or piping arrangement between a drinking water system and another source that could introduce anything other than the potable water intended </w:t>
      </w:r>
      <w:proofErr w:type="gramStart"/>
      <w:r>
        <w:t>to normally supply</w:t>
      </w:r>
      <w:proofErr w:type="gramEnd"/>
      <w:r>
        <w:t xml:space="preserve"> the system.</w:t>
      </w:r>
    </w:p>
    <w:p w:rsidR="00B546A4" w:rsidRDefault="00E363D0">
      <w:pPr>
        <w:pStyle w:val="BodyText"/>
        <w:spacing w:before="91"/>
        <w:ind w:left="117" w:right="119" w:firstLine="0"/>
      </w:pPr>
      <w:r>
        <w:t>Cross-connections include by</w:t>
      </w:r>
      <w:r>
        <w:t xml:space="preserve">pass arrangements, jumper connections, removable sections, swivel or changeover devices, and other devices that may cause </w:t>
      </w:r>
      <w:proofErr w:type="spellStart"/>
      <w:r>
        <w:t>nonpotable</w:t>
      </w:r>
      <w:proofErr w:type="spellEnd"/>
      <w:r>
        <w:t xml:space="preserve"> water to backflow into the potable water supply. Backflow occurs when the normal flow direction of the water system is reve</w:t>
      </w:r>
      <w:r>
        <w:t xml:space="preserve">rsed due to </w:t>
      </w:r>
      <w:proofErr w:type="gramStart"/>
      <w:r>
        <w:t>back pressure</w:t>
      </w:r>
      <w:proofErr w:type="gramEnd"/>
      <w:r>
        <w:t xml:space="preserve"> or back </w:t>
      </w:r>
      <w:proofErr w:type="spellStart"/>
      <w:r>
        <w:t>siphonage</w:t>
      </w:r>
      <w:proofErr w:type="spellEnd"/>
      <w:r>
        <w:t>.</w:t>
      </w:r>
    </w:p>
    <w:p w:rsidR="00B546A4" w:rsidRDefault="00E363D0">
      <w:pPr>
        <w:pStyle w:val="Heading1"/>
        <w:ind w:left="117"/>
      </w:pPr>
      <w:r>
        <w:t>Responsibilities of Public Water Systems</w:t>
      </w:r>
    </w:p>
    <w:p w:rsidR="00B546A4" w:rsidRDefault="00E363D0">
      <w:pPr>
        <w:pStyle w:val="BodyText"/>
        <w:spacing w:before="150" w:line="237" w:lineRule="auto"/>
        <w:ind w:left="117" w:right="180" w:firstLine="0"/>
      </w:pPr>
      <w:r>
        <w:t>Water purveyors must take reasonable and prudent measures to protect their water systems against contamination and pollution from cross-connections. Methods include the f</w:t>
      </w:r>
      <w:r>
        <w:t>ollowing:</w:t>
      </w:r>
    </w:p>
    <w:p w:rsidR="00B546A4" w:rsidRDefault="00B546A4">
      <w:pPr>
        <w:spacing w:line="237" w:lineRule="auto"/>
        <w:sectPr w:rsidR="00B546A4">
          <w:type w:val="continuous"/>
          <w:pgSz w:w="12240" w:h="15840"/>
          <w:pgMar w:top="440" w:right="760" w:bottom="280" w:left="240" w:header="720" w:footer="720" w:gutter="0"/>
          <w:cols w:num="2" w:space="720" w:equalWidth="0">
            <w:col w:w="1552" w:space="107"/>
            <w:col w:w="9581"/>
          </w:cols>
        </w:sectPr>
      </w:pP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63"/>
        <w:rPr>
          <w:sz w:val="24"/>
        </w:rPr>
      </w:pPr>
      <w:r>
        <w:rPr>
          <w:sz w:val="24"/>
        </w:rPr>
        <w:t>Premises isolation or</w:t>
      </w:r>
      <w:r>
        <w:rPr>
          <w:spacing w:val="-2"/>
          <w:sz w:val="24"/>
        </w:rPr>
        <w:t xml:space="preserve"> </w:t>
      </w:r>
      <w:r>
        <w:rPr>
          <w:sz w:val="24"/>
        </w:rPr>
        <w:t>containment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40"/>
        <w:rPr>
          <w:sz w:val="24"/>
        </w:rPr>
      </w:pPr>
      <w:r>
        <w:rPr>
          <w:sz w:val="24"/>
        </w:rPr>
        <w:t>Internal (or in-plant)</w:t>
      </w:r>
      <w:r>
        <w:rPr>
          <w:spacing w:val="-2"/>
          <w:sz w:val="24"/>
        </w:rPr>
        <w:t xml:space="preserve"> </w:t>
      </w:r>
      <w:r>
        <w:rPr>
          <w:sz w:val="24"/>
        </w:rPr>
        <w:t>isolation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42"/>
        <w:rPr>
          <w:sz w:val="24"/>
        </w:rPr>
      </w:pPr>
      <w:r>
        <w:rPr>
          <w:sz w:val="24"/>
        </w:rPr>
        <w:t>Fixture</w:t>
      </w:r>
      <w:r>
        <w:rPr>
          <w:spacing w:val="-3"/>
          <w:sz w:val="24"/>
        </w:rPr>
        <w:t xml:space="preserve"> </w:t>
      </w:r>
      <w:r>
        <w:rPr>
          <w:sz w:val="24"/>
        </w:rPr>
        <w:t>protection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39"/>
        <w:rPr>
          <w:sz w:val="24"/>
        </w:rPr>
      </w:pPr>
      <w:r>
        <w:rPr>
          <w:sz w:val="24"/>
        </w:rPr>
        <w:t>Some combination of</w:t>
      </w:r>
      <w:r>
        <w:rPr>
          <w:spacing w:val="-2"/>
          <w:sz w:val="24"/>
        </w:rPr>
        <w:t xml:space="preserve"> </w:t>
      </w:r>
      <w:r>
        <w:rPr>
          <w:sz w:val="24"/>
        </w:rPr>
        <w:t>above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42" w:line="273" w:lineRule="auto"/>
        <w:ind w:right="261"/>
        <w:rPr>
          <w:sz w:val="24"/>
        </w:rPr>
      </w:pPr>
      <w:r>
        <w:rPr>
          <w:sz w:val="24"/>
        </w:rPr>
        <w:t>Specific cross-connection control requirements vary depending on whether a system is</w:t>
      </w:r>
      <w:r>
        <w:rPr>
          <w:spacing w:val="-15"/>
          <w:sz w:val="24"/>
        </w:rPr>
        <w:t xml:space="preserve"> </w:t>
      </w:r>
      <w:r>
        <w:rPr>
          <w:sz w:val="24"/>
        </w:rPr>
        <w:t>a community water system or noncommunity water</w:t>
      </w:r>
      <w:r>
        <w:rPr>
          <w:spacing w:val="-10"/>
          <w:sz w:val="24"/>
        </w:rPr>
        <w:t xml:space="preserve"> </w:t>
      </w:r>
      <w:r>
        <w:rPr>
          <w:sz w:val="24"/>
        </w:rPr>
        <w:t>system.</w:t>
      </w:r>
    </w:p>
    <w:p w:rsidR="00B546A4" w:rsidRDefault="00E363D0">
      <w:pPr>
        <w:pStyle w:val="Heading1"/>
      </w:pPr>
      <w:r>
        <w:t>Responsibilities of Community Water Systems</w:t>
      </w:r>
    </w:p>
    <w:p w:rsidR="00B546A4" w:rsidRDefault="00E363D0">
      <w:pPr>
        <w:pStyle w:val="BodyText"/>
        <w:spacing w:before="148"/>
        <w:ind w:left="1776" w:right="373" w:firstLine="0"/>
      </w:pPr>
      <w:r>
        <w:t>Community water system purveyors are required to implement and enforce a cross-connection control program to prevent toxic or hazardous materials from enteri</w:t>
      </w:r>
      <w:r>
        <w:t>ng the system. Programs must include at least the following: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60"/>
        <w:ind w:right="779"/>
        <w:rPr>
          <w:sz w:val="24"/>
        </w:rPr>
      </w:pPr>
      <w:r>
        <w:rPr>
          <w:sz w:val="24"/>
        </w:rPr>
        <w:t>An inspection program to locate cross-connections and determine required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suitable </w:t>
      </w:r>
      <w:proofErr w:type="gramStart"/>
      <w:r>
        <w:rPr>
          <w:sz w:val="24"/>
        </w:rPr>
        <w:t>protection</w:t>
      </w:r>
      <w:proofErr w:type="gramEnd"/>
      <w:r>
        <w:rPr>
          <w:sz w:val="24"/>
        </w:rPr>
        <w:t>.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0"/>
        <w:ind w:right="205"/>
        <w:rPr>
          <w:sz w:val="24"/>
        </w:rPr>
      </w:pPr>
      <w:r>
        <w:rPr>
          <w:sz w:val="24"/>
        </w:rPr>
        <w:t xml:space="preserve">A requirement that suitable protection </w:t>
      </w:r>
      <w:proofErr w:type="gramStart"/>
      <w:r>
        <w:rPr>
          <w:sz w:val="24"/>
        </w:rPr>
        <w:t>is installed</w:t>
      </w:r>
      <w:proofErr w:type="gramEnd"/>
      <w:r>
        <w:rPr>
          <w:sz w:val="24"/>
        </w:rPr>
        <w:t xml:space="preserve"> before providing water service for</w:t>
      </w:r>
      <w:r>
        <w:rPr>
          <w:spacing w:val="-20"/>
          <w:sz w:val="24"/>
        </w:rPr>
        <w:t xml:space="preserve"> </w:t>
      </w:r>
      <w:r>
        <w:rPr>
          <w:sz w:val="24"/>
        </w:rPr>
        <w:t>new connection</w:t>
      </w:r>
      <w:r>
        <w:rPr>
          <w:sz w:val="24"/>
        </w:rPr>
        <w:t>s.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3" w:line="237" w:lineRule="auto"/>
        <w:ind w:right="569"/>
        <w:rPr>
          <w:sz w:val="24"/>
        </w:rPr>
      </w:pPr>
      <w:proofErr w:type="gramStart"/>
      <w:r>
        <w:rPr>
          <w:sz w:val="24"/>
        </w:rPr>
        <w:t>A requirement that adequate backflow prevention assemblies are installed,</w:t>
      </w:r>
      <w:r>
        <w:rPr>
          <w:spacing w:val="-14"/>
          <w:sz w:val="24"/>
        </w:rPr>
        <w:t xml:space="preserve"> </w:t>
      </w:r>
      <w:r>
        <w:rPr>
          <w:sz w:val="24"/>
        </w:rPr>
        <w:t>operating, and inspected and tested annually by a tester licensed by the Idaho Bureau of Occupational Licenses</w:t>
      </w:r>
      <w:r>
        <w:rPr>
          <w:spacing w:val="1"/>
          <w:sz w:val="24"/>
        </w:rPr>
        <w:t xml:space="preserve"> </w:t>
      </w:r>
      <w:r>
        <w:rPr>
          <w:sz w:val="24"/>
        </w:rPr>
        <w:t>(IBOL).</w:t>
      </w:r>
      <w:proofErr w:type="gramEnd"/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4"/>
        <w:ind w:right="486"/>
        <w:rPr>
          <w:sz w:val="24"/>
        </w:rPr>
      </w:pPr>
      <w:r>
        <w:rPr>
          <w:sz w:val="24"/>
        </w:rPr>
        <w:t>A requirement that assemblies that cannot pass annual testin</w:t>
      </w:r>
      <w:r>
        <w:rPr>
          <w:sz w:val="24"/>
        </w:rPr>
        <w:t xml:space="preserve">g or are defective </w:t>
      </w:r>
      <w:proofErr w:type="gramStart"/>
      <w:r>
        <w:rPr>
          <w:sz w:val="24"/>
        </w:rPr>
        <w:t>shall</w:t>
      </w:r>
      <w:r>
        <w:rPr>
          <w:spacing w:val="-14"/>
          <w:sz w:val="24"/>
        </w:rPr>
        <w:t xml:space="preserve"> </w:t>
      </w:r>
      <w:r>
        <w:rPr>
          <w:sz w:val="24"/>
        </w:rPr>
        <w:t>be repaired</w:t>
      </w:r>
      <w:proofErr w:type="gramEnd"/>
      <w:r>
        <w:rPr>
          <w:sz w:val="24"/>
        </w:rPr>
        <w:t xml:space="preserve">, replaced, or isolated within 10 business days. If no action </w:t>
      </w:r>
      <w:proofErr w:type="gramStart"/>
      <w:r>
        <w:rPr>
          <w:sz w:val="24"/>
        </w:rPr>
        <w:t>is taken</w:t>
      </w:r>
      <w:proofErr w:type="gramEnd"/>
      <w:r>
        <w:rPr>
          <w:sz w:val="24"/>
        </w:rPr>
        <w:t xml:space="preserve"> after 10 business days, water service to the failed assembly must be</w:t>
      </w:r>
      <w:r>
        <w:rPr>
          <w:spacing w:val="-10"/>
          <w:sz w:val="24"/>
        </w:rPr>
        <w:t xml:space="preserve"> </w:t>
      </w:r>
      <w:r>
        <w:rPr>
          <w:sz w:val="24"/>
        </w:rPr>
        <w:t>discontinued.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2" w:line="237" w:lineRule="auto"/>
        <w:ind w:right="581"/>
        <w:rPr>
          <w:sz w:val="24"/>
        </w:rPr>
      </w:pPr>
      <w:r>
        <w:rPr>
          <w:sz w:val="24"/>
        </w:rPr>
        <w:t>Discontinuance of service for any facility where suitable backflow</w:t>
      </w:r>
      <w:r>
        <w:rPr>
          <w:sz w:val="24"/>
        </w:rPr>
        <w:t xml:space="preserve"> protection </w:t>
      </w:r>
      <w:proofErr w:type="gramStart"/>
      <w:r>
        <w:rPr>
          <w:sz w:val="24"/>
        </w:rPr>
        <w:t>has</w:t>
      </w:r>
      <w:r>
        <w:rPr>
          <w:spacing w:val="-15"/>
          <w:sz w:val="24"/>
        </w:rPr>
        <w:t xml:space="preserve"> </w:t>
      </w:r>
      <w:r>
        <w:rPr>
          <w:sz w:val="24"/>
        </w:rPr>
        <w:t>not been provided</w:t>
      </w:r>
      <w:proofErr w:type="gramEnd"/>
      <w:r>
        <w:rPr>
          <w:sz w:val="24"/>
        </w:rPr>
        <w:t xml:space="preserve"> for a</w:t>
      </w:r>
      <w:r>
        <w:rPr>
          <w:spacing w:val="-1"/>
          <w:sz w:val="24"/>
        </w:rPr>
        <w:t xml:space="preserve"> </w:t>
      </w:r>
      <w:r>
        <w:rPr>
          <w:sz w:val="24"/>
        </w:rPr>
        <w:t>cross-connection.</w:t>
      </w:r>
    </w:p>
    <w:p w:rsidR="00B546A4" w:rsidRDefault="00E363D0">
      <w:pPr>
        <w:pStyle w:val="Heading1"/>
        <w:spacing w:before="185"/>
      </w:pPr>
      <w:r>
        <w:t>Responsibilities of Noncommunity Water Systems</w:t>
      </w:r>
    </w:p>
    <w:p w:rsidR="00B546A4" w:rsidRDefault="00E363D0">
      <w:pPr>
        <w:pStyle w:val="BodyText"/>
        <w:spacing w:before="148"/>
        <w:ind w:left="1776" w:right="439" w:firstLine="0"/>
      </w:pPr>
      <w:r>
        <w:t>Noncommunity water system purveyors must make sure that cross-connections either do not exist or are isolated from the water system by an appropriate b</w:t>
      </w:r>
      <w:r>
        <w:t xml:space="preserve">ackflow prevention assembly. Backflow prevention assemblies </w:t>
      </w:r>
      <w:proofErr w:type="gramStart"/>
      <w:r>
        <w:t>must be inspected and tested annually by a tester licensed by IBOL</w:t>
      </w:r>
      <w:proofErr w:type="gramEnd"/>
      <w:r>
        <w:t>.</w:t>
      </w:r>
    </w:p>
    <w:p w:rsidR="00B546A4" w:rsidRDefault="00B546A4">
      <w:pPr>
        <w:sectPr w:rsidR="00B546A4">
          <w:type w:val="continuous"/>
          <w:pgSz w:w="12240" w:h="15840"/>
          <w:pgMar w:top="440" w:right="760" w:bottom="280" w:left="240" w:header="720" w:footer="720" w:gutter="0"/>
          <w:cols w:space="720"/>
        </w:sectPr>
      </w:pPr>
    </w:p>
    <w:p w:rsidR="00B546A4" w:rsidRDefault="00E363D0">
      <w:pPr>
        <w:pStyle w:val="Heading1"/>
        <w:spacing w:before="62"/>
      </w:pPr>
      <w:r>
        <w:t>Backflow Prevention Assemblies and</w:t>
      </w:r>
      <w:r>
        <w:rPr>
          <w:spacing w:val="-15"/>
        </w:rPr>
        <w:t xml:space="preserve"> </w:t>
      </w:r>
      <w:r>
        <w:t>Devices</w:t>
      </w:r>
    </w:p>
    <w:p w:rsidR="00B546A4" w:rsidRDefault="00E363D0">
      <w:pPr>
        <w:pStyle w:val="BodyText"/>
        <w:spacing w:before="149"/>
        <w:ind w:left="1776" w:right="196" w:firstLine="0"/>
      </w:pPr>
      <w:r>
        <w:t xml:space="preserve">A backflow prevention assembly and a backflow prevention device are different. A backflow prevention assembly is a set of mechanical components that prevents the undesired backflow of </w:t>
      </w:r>
      <w:proofErr w:type="spellStart"/>
      <w:r>
        <w:t>nonpotable</w:t>
      </w:r>
      <w:proofErr w:type="spellEnd"/>
      <w:r>
        <w:t xml:space="preserve"> water or other liquids into the potable water system and can </w:t>
      </w:r>
      <w:r>
        <w:t>be tested and repaired</w:t>
      </w:r>
      <w:r>
        <w:rPr>
          <w:spacing w:val="-16"/>
        </w:rPr>
        <w:t xml:space="preserve"> </w:t>
      </w:r>
      <w:r>
        <w:t>in place. A backflow prevention device is a backflow preventer that does not meet the approval requirements of a backflow prevention assembly (i.e., is not testable). Also, not all mechanical assemblies and devices provide equal back</w:t>
      </w:r>
      <w:r>
        <w:t>flow</w:t>
      </w:r>
      <w:r>
        <w:rPr>
          <w:spacing w:val="-4"/>
        </w:rPr>
        <w:t xml:space="preserve"> </w:t>
      </w:r>
      <w:r>
        <w:t>protection.</w:t>
      </w:r>
    </w:p>
    <w:p w:rsidR="00B546A4" w:rsidRDefault="00B546A4">
      <w:pPr>
        <w:pStyle w:val="BodyText"/>
        <w:spacing w:before="6"/>
        <w:ind w:left="0" w:firstLine="0"/>
        <w:rPr>
          <w:sz w:val="23"/>
        </w:rPr>
      </w:pPr>
    </w:p>
    <w:p w:rsidR="00B546A4" w:rsidRDefault="00E363D0">
      <w:pPr>
        <w:pStyle w:val="BodyText"/>
        <w:ind w:left="1776" w:firstLine="0"/>
      </w:pPr>
      <w:r>
        <w:t>Some types of backflow prevention assemblies include the following: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90"/>
        <w:rPr>
          <w:sz w:val="24"/>
        </w:rPr>
      </w:pPr>
      <w:r>
        <w:rPr>
          <w:position w:val="1"/>
          <w:sz w:val="24"/>
        </w:rPr>
        <w:t>Double-check valve assemblies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78"/>
        <w:rPr>
          <w:sz w:val="24"/>
        </w:rPr>
      </w:pPr>
      <w:r>
        <w:rPr>
          <w:position w:val="1"/>
          <w:sz w:val="24"/>
        </w:rPr>
        <w:t>Reduced-pressure principle backflow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assemblies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rPr>
          <w:sz w:val="24"/>
        </w:rPr>
      </w:pPr>
      <w:r>
        <w:rPr>
          <w:position w:val="1"/>
          <w:sz w:val="24"/>
        </w:rPr>
        <w:t>Spill-resistant vacuum breaker assemblies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rPr>
          <w:sz w:val="24"/>
        </w:rPr>
      </w:pPr>
      <w:r>
        <w:rPr>
          <w:position w:val="1"/>
          <w:sz w:val="24"/>
        </w:rPr>
        <w:t>Pressure vacuum breaker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assemblies</w:t>
      </w:r>
    </w:p>
    <w:p w:rsidR="00B546A4" w:rsidRDefault="00E363D0">
      <w:pPr>
        <w:pStyle w:val="BodyText"/>
        <w:spacing w:before="74"/>
        <w:ind w:left="1776" w:firstLine="0"/>
      </w:pPr>
      <w:r>
        <w:t>Some types of ba</w:t>
      </w:r>
      <w:r>
        <w:t>ckflow prevention devices include the following: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90"/>
        <w:rPr>
          <w:sz w:val="24"/>
        </w:rPr>
      </w:pPr>
      <w:r>
        <w:rPr>
          <w:position w:val="1"/>
          <w:sz w:val="24"/>
        </w:rPr>
        <w:t>Residential meter check/single-check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valve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rPr>
          <w:sz w:val="24"/>
        </w:rPr>
      </w:pPr>
      <w:r>
        <w:rPr>
          <w:position w:val="1"/>
          <w:sz w:val="24"/>
        </w:rPr>
        <w:t>Dual-check backflow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preventer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78"/>
        <w:rPr>
          <w:sz w:val="24"/>
        </w:rPr>
      </w:pPr>
      <w:r>
        <w:rPr>
          <w:position w:val="1"/>
          <w:sz w:val="24"/>
        </w:rPr>
        <w:t>Dual-check with atmospheric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vent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rPr>
          <w:sz w:val="24"/>
        </w:rPr>
      </w:pPr>
      <w:r>
        <w:rPr>
          <w:position w:val="1"/>
          <w:sz w:val="24"/>
        </w:rPr>
        <w:t xml:space="preserve">Hose </w:t>
      </w:r>
      <w:proofErr w:type="spellStart"/>
      <w:r>
        <w:rPr>
          <w:position w:val="1"/>
          <w:sz w:val="24"/>
        </w:rPr>
        <w:t>bibb</w:t>
      </w:r>
      <w:proofErr w:type="spellEnd"/>
      <w:r>
        <w:rPr>
          <w:position w:val="1"/>
          <w:sz w:val="24"/>
        </w:rPr>
        <w:t xml:space="preserve"> vacuum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breaker</w:t>
      </w:r>
    </w:p>
    <w:p w:rsidR="00B546A4" w:rsidRDefault="00E363D0">
      <w:pPr>
        <w:pStyle w:val="ListParagraph"/>
        <w:numPr>
          <w:ilvl w:val="0"/>
          <w:numId w:val="1"/>
        </w:numPr>
        <w:tabs>
          <w:tab w:val="left" w:pos="2496"/>
          <w:tab w:val="left" w:pos="2497"/>
        </w:tabs>
        <w:spacing w:before="75"/>
        <w:rPr>
          <w:sz w:val="24"/>
        </w:rPr>
      </w:pPr>
      <w:r>
        <w:rPr>
          <w:position w:val="1"/>
          <w:sz w:val="24"/>
        </w:rPr>
        <w:t>Atmospheric vacuum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breaker</w:t>
      </w:r>
    </w:p>
    <w:p w:rsidR="00B546A4" w:rsidRDefault="00B546A4">
      <w:pPr>
        <w:pStyle w:val="BodyText"/>
        <w:ind w:left="0" w:firstLine="0"/>
        <w:rPr>
          <w:sz w:val="22"/>
        </w:rPr>
      </w:pPr>
    </w:p>
    <w:p w:rsidR="00B546A4" w:rsidRDefault="00E363D0">
      <w:pPr>
        <w:pStyle w:val="BodyText"/>
        <w:spacing w:before="0"/>
        <w:ind w:left="1776" w:right="181" w:firstLine="0"/>
      </w:pPr>
      <w:r>
        <w:t>Backflow assembly types must pass a performance test conducted by the University of Southern California Foundation for Cross-Connection Control and Hydraulic Research. In addition, all double-check valve and reduced-pressure principle backflow assemblies m</w:t>
      </w:r>
      <w:r>
        <w:t>ust meet American Water Works Association (AWWA) Standards C-510 and C-511, respectively.</w:t>
      </w:r>
    </w:p>
    <w:p w:rsidR="00B546A4" w:rsidRDefault="00B546A4">
      <w:pPr>
        <w:pStyle w:val="BodyText"/>
        <w:spacing w:before="4"/>
        <w:ind w:left="0" w:firstLine="0"/>
        <w:rPr>
          <w:sz w:val="23"/>
        </w:rPr>
      </w:pPr>
    </w:p>
    <w:p w:rsidR="00B546A4" w:rsidRDefault="00E363D0">
      <w:pPr>
        <w:pStyle w:val="BodyText"/>
        <w:ind w:left="1776" w:right="373" w:firstLine="0"/>
      </w:pPr>
      <w:proofErr w:type="gramStart"/>
      <w:r>
        <w:t>Some types of backflow prevention devices, such as atmospheric vacuum breakers, must be approved by either the International Association of Plumbing and Mechanical O</w:t>
      </w:r>
      <w:r>
        <w:t>fficials (</w:t>
      </w:r>
      <w:proofErr w:type="spellStart"/>
      <w:r>
        <w:t>IAPMO</w:t>
      </w:r>
      <w:proofErr w:type="spellEnd"/>
      <w:r>
        <w:t>) or the American Society of Sanitation Engineers (</w:t>
      </w:r>
      <w:proofErr w:type="spellStart"/>
      <w:r>
        <w:t>ASSE</w:t>
      </w:r>
      <w:proofErr w:type="spellEnd"/>
      <w:r>
        <w:t>)</w:t>
      </w:r>
      <w:proofErr w:type="gramEnd"/>
      <w:r>
        <w:t>.</w:t>
      </w:r>
    </w:p>
    <w:p w:rsidR="00B546A4" w:rsidRDefault="00B546A4">
      <w:pPr>
        <w:pStyle w:val="BodyText"/>
        <w:spacing w:before="11"/>
        <w:ind w:left="0" w:firstLine="0"/>
        <w:rPr>
          <w:sz w:val="23"/>
        </w:rPr>
      </w:pPr>
    </w:p>
    <w:p w:rsidR="00B546A4" w:rsidRDefault="00E363D0">
      <w:pPr>
        <w:pStyle w:val="BodyText"/>
        <w:spacing w:before="0"/>
        <w:ind w:left="1776" w:right="196" w:firstLine="0"/>
      </w:pPr>
      <w:r>
        <w:t xml:space="preserve">Before installing backflow preventers (assemblies or devices), water purveyors must make sure they are selected from an appropriate reference material deemed acceptable by the Idaho </w:t>
      </w:r>
      <w:r>
        <w:t xml:space="preserve">Department of Environmental Quality (see the “Idaho Rules for Public Drinking Water Systems,” </w:t>
      </w:r>
      <w:proofErr w:type="spellStart"/>
      <w:r>
        <w:t>58.01.08.552.06.b</w:t>
      </w:r>
      <w:proofErr w:type="spellEnd"/>
      <w:r>
        <w:t>). The installation of any backflow assembly or device must also comply with any local ordinances.</w:t>
      </w:r>
    </w:p>
    <w:sectPr w:rsidR="00B546A4">
      <w:pgSz w:w="12240" w:h="15840"/>
      <w:pgMar w:top="1280" w:right="7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95A"/>
    <w:multiLevelType w:val="hybridMultilevel"/>
    <w:tmpl w:val="972CFCF2"/>
    <w:lvl w:ilvl="0" w:tplc="97007258">
      <w:numFmt w:val="bullet"/>
      <w:lvlText w:val=""/>
      <w:lvlJc w:val="left"/>
      <w:pPr>
        <w:ind w:left="24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BDAF7A2"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en-US"/>
      </w:rPr>
    </w:lvl>
    <w:lvl w:ilvl="2" w:tplc="C974ED26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en-US"/>
      </w:rPr>
    </w:lvl>
    <w:lvl w:ilvl="3" w:tplc="876CC53C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en-US"/>
      </w:rPr>
    </w:lvl>
    <w:lvl w:ilvl="4" w:tplc="1C72B13A">
      <w:numFmt w:val="bullet"/>
      <w:lvlText w:val="•"/>
      <w:lvlJc w:val="left"/>
      <w:pPr>
        <w:ind w:left="5996" w:hanging="360"/>
      </w:pPr>
      <w:rPr>
        <w:rFonts w:hint="default"/>
        <w:lang w:val="en-US" w:eastAsia="en-US" w:bidi="en-US"/>
      </w:rPr>
    </w:lvl>
    <w:lvl w:ilvl="5" w:tplc="7BFAC130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en-US"/>
      </w:rPr>
    </w:lvl>
    <w:lvl w:ilvl="6" w:tplc="FE4421A8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en-US"/>
      </w:rPr>
    </w:lvl>
    <w:lvl w:ilvl="7" w:tplc="A358F476">
      <w:numFmt w:val="bullet"/>
      <w:lvlText w:val="•"/>
      <w:lvlJc w:val="left"/>
      <w:pPr>
        <w:ind w:left="8618" w:hanging="360"/>
      </w:pPr>
      <w:rPr>
        <w:rFonts w:hint="default"/>
        <w:lang w:val="en-US" w:eastAsia="en-US" w:bidi="en-US"/>
      </w:rPr>
    </w:lvl>
    <w:lvl w:ilvl="8" w:tplc="E1E4914C">
      <w:numFmt w:val="bullet"/>
      <w:lvlText w:val="•"/>
      <w:lvlJc w:val="left"/>
      <w:pPr>
        <w:ind w:left="9492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546A4"/>
    <w:rsid w:val="000A1BFB"/>
    <w:rsid w:val="00B546A4"/>
    <w:rsid w:val="00E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83"/>
      <w:ind w:left="1776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2496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6"/>
      <w:ind w:left="249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A1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BFB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eq.idaho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Conservation Tips for Vehicle Repair Shops</vt:lpstr>
    </vt:vector>
  </TitlesOfParts>
  <Company>Idaho Department of Environmental Quality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Conservation Tips for Vehicle Repair Shops</dc:title>
  <dc:creator>DEQ</dc:creator>
  <cp:lastModifiedBy/>
  <cp:revision>1</cp:revision>
  <dcterms:created xsi:type="dcterms:W3CDTF">2020-02-03T14:28:00Z</dcterms:created>
  <dcterms:modified xsi:type="dcterms:W3CDTF">2020-02-03T14:28:00Z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2020-02-03T00:00:00Z</vt:filetime>
  </property>
</Properties>
</file>