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7F9" w:rsidRDefault="005258E9" w:rsidP="00237DEF">
      <w:pPr>
        <w:spacing w:after="0"/>
        <w:jc w:val="center"/>
        <w:rPr>
          <w:rFonts w:ascii="Cambria" w:hAnsi="Cambria"/>
          <w:b/>
          <w:sz w:val="28"/>
          <w:szCs w:val="28"/>
        </w:rPr>
      </w:pPr>
      <w:bookmarkStart w:id="0" w:name="_GoBack"/>
      <w:bookmarkEnd w:id="0"/>
      <w:r w:rsidRPr="006E1174">
        <w:rPr>
          <w:rFonts w:ascii="Cambria" w:hAnsi="Cambria"/>
          <w:b/>
          <w:sz w:val="28"/>
          <w:szCs w:val="28"/>
        </w:rPr>
        <w:t xml:space="preserve">Stage 2 DBP </w:t>
      </w:r>
      <w:r w:rsidR="000D77F9" w:rsidRPr="006E1174">
        <w:rPr>
          <w:rFonts w:ascii="Cambria" w:hAnsi="Cambria"/>
          <w:b/>
          <w:sz w:val="28"/>
          <w:szCs w:val="28"/>
        </w:rPr>
        <w:t>Compliance Monitoring Plan</w:t>
      </w:r>
    </w:p>
    <w:p w:rsidR="00237DEF" w:rsidRPr="006E1174" w:rsidRDefault="00237DEF" w:rsidP="00237DEF">
      <w:pPr>
        <w:spacing w:after="0"/>
        <w:jc w:val="center"/>
        <w:rPr>
          <w:rFonts w:ascii="Cambria" w:hAnsi="Cambria"/>
          <w:b/>
          <w:sz w:val="28"/>
          <w:szCs w:val="28"/>
        </w:rPr>
      </w:pPr>
    </w:p>
    <w:tbl>
      <w:tblPr>
        <w:tblStyle w:val="TableGrid"/>
        <w:tblW w:w="0" w:type="auto"/>
        <w:tblLook w:val="04A0" w:firstRow="1" w:lastRow="0" w:firstColumn="1" w:lastColumn="0" w:noHBand="0" w:noVBand="1"/>
      </w:tblPr>
      <w:tblGrid>
        <w:gridCol w:w="2177"/>
        <w:gridCol w:w="811"/>
        <w:gridCol w:w="812"/>
        <w:gridCol w:w="1438"/>
        <w:gridCol w:w="2790"/>
        <w:gridCol w:w="1641"/>
        <w:gridCol w:w="519"/>
        <w:gridCol w:w="1122"/>
        <w:gridCol w:w="1641"/>
        <w:gridCol w:w="1647"/>
      </w:tblGrid>
      <w:tr w:rsidR="008739D5" w:rsidRPr="006E1174" w:rsidTr="00812717">
        <w:trPr>
          <w:trHeight w:val="288"/>
        </w:trPr>
        <w:tc>
          <w:tcPr>
            <w:tcW w:w="10188" w:type="dxa"/>
            <w:gridSpan w:val="7"/>
          </w:tcPr>
          <w:p w:rsidR="008739D5" w:rsidRPr="006E1174" w:rsidRDefault="008739D5" w:rsidP="00E72FDF">
            <w:pPr>
              <w:rPr>
                <w:rFonts w:ascii="Cambria" w:hAnsi="Cambria"/>
                <w:sz w:val="24"/>
                <w:szCs w:val="24"/>
              </w:rPr>
            </w:pPr>
            <w:r w:rsidRPr="006E1174">
              <w:rPr>
                <w:rFonts w:ascii="Cambria" w:hAnsi="Cambria"/>
                <w:sz w:val="24"/>
                <w:szCs w:val="24"/>
              </w:rPr>
              <w:t>System Name:</w:t>
            </w:r>
            <w:r w:rsidR="00BE6DA7">
              <w:rPr>
                <w:rFonts w:ascii="Cambria" w:hAnsi="Cambria"/>
                <w:sz w:val="24"/>
                <w:szCs w:val="24"/>
              </w:rPr>
              <w:t xml:space="preserve"> </w:t>
            </w:r>
            <w:r w:rsidR="00411202">
              <w:rPr>
                <w:rFonts w:ascii="Cambria" w:hAnsi="Cambria"/>
                <w:sz w:val="24"/>
                <w:szCs w:val="24"/>
              </w:rPr>
              <w:t xml:space="preserve"> </w:t>
            </w:r>
            <w:r w:rsidR="00E72FDF">
              <w:rPr>
                <w:rFonts w:ascii="Bradley Hand ITC" w:hAnsi="Bradley Hand ITC"/>
                <w:sz w:val="24"/>
                <w:szCs w:val="24"/>
              </w:rPr>
              <w:t>Medium</w:t>
            </w:r>
            <w:r w:rsidR="00666A5D">
              <w:rPr>
                <w:rFonts w:ascii="Bradley Hand ITC" w:hAnsi="Bradley Hand ITC"/>
                <w:sz w:val="24"/>
                <w:szCs w:val="24"/>
              </w:rPr>
              <w:t xml:space="preserve"> Small</w:t>
            </w:r>
            <w:r w:rsidR="00E72FDF">
              <w:rPr>
                <w:rFonts w:ascii="Bradley Hand ITC" w:hAnsi="Bradley Hand ITC"/>
                <w:sz w:val="24"/>
                <w:szCs w:val="24"/>
              </w:rPr>
              <w:t xml:space="preserve"> </w:t>
            </w:r>
            <w:r w:rsidR="00411202">
              <w:rPr>
                <w:rFonts w:ascii="Bradley Hand ITC" w:hAnsi="Bradley Hand ITC"/>
                <w:sz w:val="24"/>
                <w:szCs w:val="24"/>
              </w:rPr>
              <w:t>Water Inc.</w:t>
            </w:r>
            <w:r w:rsidR="00F3618B">
              <w:rPr>
                <w:rFonts w:ascii="Bradley Hand ITC" w:hAnsi="Bradley Hand ITC"/>
                <w:sz w:val="24"/>
                <w:szCs w:val="24"/>
              </w:rPr>
              <w:t xml:space="preserve"> </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PWSID:</w:t>
            </w:r>
            <w:r w:rsidR="00CC197B">
              <w:rPr>
                <w:rFonts w:ascii="Cambria" w:hAnsi="Cambria"/>
                <w:sz w:val="24"/>
                <w:szCs w:val="24"/>
              </w:rPr>
              <w:t xml:space="preserve"> </w:t>
            </w:r>
            <w:proofErr w:type="spellStart"/>
            <w:r w:rsidR="00CC197B">
              <w:rPr>
                <w:rFonts w:ascii="Cambria" w:hAnsi="Cambria"/>
                <w:sz w:val="24"/>
                <w:szCs w:val="24"/>
              </w:rPr>
              <w:t>xxxxxxx</w:t>
            </w:r>
            <w:proofErr w:type="spellEnd"/>
          </w:p>
        </w:tc>
      </w:tr>
      <w:tr w:rsidR="008739D5" w:rsidRPr="006E1174" w:rsidTr="00812717">
        <w:trPr>
          <w:trHeight w:val="288"/>
        </w:trPr>
        <w:tc>
          <w:tcPr>
            <w:tcW w:w="5238" w:type="dxa"/>
            <w:gridSpan w:val="4"/>
          </w:tcPr>
          <w:p w:rsidR="008739D5" w:rsidRPr="006E1174" w:rsidRDefault="006E1174" w:rsidP="006E1174">
            <w:pPr>
              <w:rPr>
                <w:rFonts w:ascii="Cambria" w:hAnsi="Cambria"/>
                <w:sz w:val="24"/>
                <w:szCs w:val="24"/>
              </w:rPr>
            </w:pPr>
            <w:r>
              <w:rPr>
                <w:rFonts w:ascii="Cambria" w:hAnsi="Cambria"/>
                <w:sz w:val="24"/>
                <w:szCs w:val="24"/>
              </w:rPr>
              <w:t>Contact Name</w:t>
            </w:r>
            <w:r w:rsidR="008739D5" w:rsidRPr="006E1174">
              <w:rPr>
                <w:rFonts w:ascii="Cambria" w:hAnsi="Cambria"/>
                <w:sz w:val="24"/>
                <w:szCs w:val="24"/>
              </w:rPr>
              <w:t>:</w:t>
            </w:r>
            <w:r w:rsidR="00CC197B">
              <w:rPr>
                <w:rFonts w:ascii="Cambria" w:hAnsi="Cambria"/>
                <w:sz w:val="24"/>
                <w:szCs w:val="24"/>
              </w:rPr>
              <w:t xml:space="preserve"> </w:t>
            </w:r>
            <w:r w:rsidR="00CC197B" w:rsidRPr="00E469B9">
              <w:rPr>
                <w:rFonts w:ascii="Bradley Hand ITC" w:hAnsi="Bradley Hand ITC"/>
                <w:sz w:val="24"/>
                <w:szCs w:val="24"/>
              </w:rPr>
              <w:t>John Doe</w:t>
            </w:r>
          </w:p>
        </w:tc>
        <w:tc>
          <w:tcPr>
            <w:tcW w:w="4950" w:type="dxa"/>
            <w:gridSpan w:val="3"/>
          </w:tcPr>
          <w:p w:rsidR="008739D5" w:rsidRPr="006E1174" w:rsidRDefault="008739D5" w:rsidP="008739D5">
            <w:pPr>
              <w:rPr>
                <w:rFonts w:ascii="Cambria" w:hAnsi="Cambria"/>
                <w:sz w:val="24"/>
                <w:szCs w:val="24"/>
              </w:rPr>
            </w:pPr>
            <w:r w:rsidRPr="006E1174">
              <w:rPr>
                <w:rFonts w:ascii="Cambria" w:hAnsi="Cambria"/>
                <w:sz w:val="24"/>
                <w:szCs w:val="24"/>
              </w:rPr>
              <w:t>E-mail:</w:t>
            </w:r>
            <w:r w:rsidR="00CC197B">
              <w:rPr>
                <w:rFonts w:ascii="Cambria" w:hAnsi="Cambria"/>
                <w:sz w:val="24"/>
                <w:szCs w:val="24"/>
              </w:rPr>
              <w:t xml:space="preserve"> </w:t>
            </w:r>
            <w:r w:rsidR="00CC197B" w:rsidRPr="00E469B9">
              <w:rPr>
                <w:rFonts w:ascii="Bradley Hand ITC" w:hAnsi="Bradley Hand ITC"/>
                <w:sz w:val="24"/>
                <w:szCs w:val="24"/>
              </w:rPr>
              <w:t>john.doe@</w:t>
            </w:r>
            <w:r w:rsidR="00666A5D">
              <w:rPr>
                <w:rFonts w:ascii="Bradley Hand ITC" w:hAnsi="Bradley Hand ITC"/>
                <w:sz w:val="24"/>
                <w:szCs w:val="24"/>
              </w:rPr>
              <w:t>2</w:t>
            </w:r>
            <w:r w:rsidR="00E72FDF">
              <w:rPr>
                <w:rFonts w:ascii="Bradley Hand ITC" w:hAnsi="Bradley Hand ITC"/>
                <w:sz w:val="24"/>
                <w:szCs w:val="24"/>
              </w:rPr>
              <w:t>,</w:t>
            </w:r>
            <w:r w:rsidR="00CC197B" w:rsidRPr="00E469B9">
              <w:rPr>
                <w:rFonts w:ascii="Bradley Hand ITC" w:hAnsi="Bradley Hand ITC"/>
                <w:sz w:val="24"/>
                <w:szCs w:val="24"/>
              </w:rPr>
              <w:t>350system.com</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Contact Phone:</w:t>
            </w:r>
            <w:r w:rsidR="00CC197B">
              <w:rPr>
                <w:rFonts w:ascii="Cambria" w:hAnsi="Cambria"/>
                <w:sz w:val="24"/>
                <w:szCs w:val="24"/>
              </w:rPr>
              <w:t xml:space="preserve"> xxx-xxx-</w:t>
            </w:r>
            <w:proofErr w:type="spellStart"/>
            <w:r w:rsidR="00CC197B">
              <w:rPr>
                <w:rFonts w:ascii="Cambria" w:hAnsi="Cambria"/>
                <w:sz w:val="24"/>
                <w:szCs w:val="24"/>
              </w:rPr>
              <w:t>xxxx</w:t>
            </w:r>
            <w:proofErr w:type="spellEnd"/>
          </w:p>
        </w:tc>
      </w:tr>
      <w:tr w:rsidR="00351DE2" w:rsidTr="00E469B9">
        <w:tblPrEx>
          <w:tblLook w:val="0000" w:firstRow="0" w:lastRow="0" w:firstColumn="0" w:lastColumn="0" w:noHBand="0" w:noVBand="0"/>
        </w:tblPrEx>
        <w:trPr>
          <w:trHeight w:val="179"/>
        </w:trPr>
        <w:tc>
          <w:tcPr>
            <w:tcW w:w="14598" w:type="dxa"/>
            <w:gridSpan w:val="10"/>
            <w:shd w:val="clear" w:color="auto" w:fill="BFBFBF" w:themeFill="background1" w:themeFillShade="BF"/>
          </w:tcPr>
          <w:p w:rsidR="00351DE2" w:rsidRDefault="00351DE2" w:rsidP="00351DE2">
            <w:pPr>
              <w:jc w:val="center"/>
              <w:rPr>
                <w:rFonts w:ascii="Cambria" w:hAnsi="Cambria"/>
              </w:rPr>
            </w:pPr>
          </w:p>
        </w:tc>
      </w:tr>
      <w:tr w:rsidR="005B0379" w:rsidRPr="006E1174" w:rsidTr="00351DE2">
        <w:trPr>
          <w:trHeight w:val="296"/>
        </w:trPr>
        <w:tc>
          <w:tcPr>
            <w:tcW w:w="2177" w:type="dxa"/>
            <w:vMerge w:val="restart"/>
            <w:vAlign w:val="center"/>
          </w:tcPr>
          <w:p w:rsidR="005B0379" w:rsidRPr="00237DEF" w:rsidRDefault="00E735C4" w:rsidP="00351DE2">
            <w:pPr>
              <w:jc w:val="center"/>
              <w:rPr>
                <w:rFonts w:asciiTheme="majorHAnsi" w:hAnsiTheme="majorHAnsi"/>
              </w:rPr>
            </w:pPr>
            <w:r w:rsidRPr="00237DEF">
              <w:rPr>
                <w:rFonts w:asciiTheme="majorHAnsi" w:hAnsiTheme="majorHAnsi"/>
              </w:rPr>
              <w:t xml:space="preserve">Monitoring </w:t>
            </w:r>
            <w:r w:rsidR="005B0379" w:rsidRPr="00237DEF">
              <w:rPr>
                <w:rFonts w:asciiTheme="majorHAnsi" w:hAnsiTheme="majorHAnsi"/>
              </w:rPr>
              <w:t xml:space="preserve"> location/address</w:t>
            </w:r>
          </w:p>
        </w:tc>
        <w:tc>
          <w:tcPr>
            <w:tcW w:w="1623" w:type="dxa"/>
            <w:gridSpan w:val="2"/>
            <w:vAlign w:val="center"/>
          </w:tcPr>
          <w:p w:rsidR="005B0379" w:rsidRPr="00237DEF" w:rsidRDefault="005E730D" w:rsidP="00351DE2">
            <w:pPr>
              <w:jc w:val="center"/>
              <w:rPr>
                <w:rFonts w:asciiTheme="majorHAnsi" w:hAnsiTheme="majorHAnsi"/>
              </w:rPr>
            </w:pPr>
            <w:r w:rsidRPr="00237DEF">
              <w:rPr>
                <w:rFonts w:asciiTheme="majorHAnsi" w:hAnsiTheme="majorHAnsi"/>
              </w:rPr>
              <w:t>Location for:</w:t>
            </w:r>
          </w:p>
        </w:tc>
        <w:tc>
          <w:tcPr>
            <w:tcW w:w="4228" w:type="dxa"/>
            <w:gridSpan w:val="2"/>
            <w:vMerge w:val="restart"/>
            <w:vAlign w:val="center"/>
          </w:tcPr>
          <w:p w:rsidR="005B0379" w:rsidRPr="00237DEF" w:rsidRDefault="005B0379" w:rsidP="00351DE2">
            <w:pPr>
              <w:jc w:val="center"/>
              <w:rPr>
                <w:rFonts w:asciiTheme="majorHAnsi" w:hAnsiTheme="majorHAnsi"/>
              </w:rPr>
            </w:pPr>
            <w:r w:rsidRPr="00237DEF">
              <w:rPr>
                <w:rFonts w:asciiTheme="majorHAnsi" w:hAnsiTheme="majorHAnsi"/>
              </w:rPr>
              <w:t>Justification</w:t>
            </w:r>
          </w:p>
          <w:p w:rsidR="005B0379" w:rsidRPr="00237DEF" w:rsidRDefault="005B0379" w:rsidP="00351DE2">
            <w:pPr>
              <w:jc w:val="center"/>
              <w:rPr>
                <w:rFonts w:asciiTheme="majorHAnsi" w:hAnsiTheme="majorHAnsi"/>
              </w:rPr>
            </w:pPr>
          </w:p>
        </w:tc>
        <w:tc>
          <w:tcPr>
            <w:tcW w:w="6570" w:type="dxa"/>
            <w:gridSpan w:val="5"/>
            <w:vAlign w:val="center"/>
          </w:tcPr>
          <w:p w:rsidR="005B0379" w:rsidRPr="00237DEF" w:rsidRDefault="005B0379" w:rsidP="00351DE2">
            <w:pPr>
              <w:jc w:val="center"/>
              <w:rPr>
                <w:rFonts w:asciiTheme="majorHAnsi" w:hAnsiTheme="majorHAnsi"/>
              </w:rPr>
            </w:pPr>
            <w:r w:rsidRPr="00237DEF">
              <w:rPr>
                <w:rFonts w:asciiTheme="majorHAnsi" w:hAnsiTheme="majorHAnsi"/>
              </w:rPr>
              <w:t>Sampling Date(s)</w:t>
            </w:r>
            <w:r w:rsidR="00F903BA" w:rsidRPr="00237DEF">
              <w:rPr>
                <w:rFonts w:asciiTheme="majorHAnsi" w:hAnsiTheme="majorHAnsi"/>
              </w:rPr>
              <w:t xml:space="preserve">: </w:t>
            </w:r>
            <w:r w:rsidR="00E177CF" w:rsidRPr="00237DEF">
              <w:rPr>
                <w:rFonts w:asciiTheme="majorHAnsi" w:hAnsiTheme="majorHAnsi"/>
              </w:rPr>
              <w:t>Month or Week &amp; Month</w:t>
            </w:r>
          </w:p>
        </w:tc>
      </w:tr>
      <w:tr w:rsidR="00F903BA" w:rsidRPr="006E1174" w:rsidTr="00351DE2">
        <w:tc>
          <w:tcPr>
            <w:tcW w:w="2177" w:type="dxa"/>
            <w:vMerge/>
            <w:vAlign w:val="center"/>
          </w:tcPr>
          <w:p w:rsidR="005B0379" w:rsidRPr="00237DEF" w:rsidRDefault="005B0379" w:rsidP="00351DE2">
            <w:pPr>
              <w:jc w:val="center"/>
              <w:rPr>
                <w:rFonts w:asciiTheme="majorHAnsi" w:hAnsiTheme="majorHAnsi"/>
              </w:rPr>
            </w:pPr>
          </w:p>
        </w:tc>
        <w:tc>
          <w:tcPr>
            <w:tcW w:w="81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TTHM</w:t>
            </w:r>
          </w:p>
        </w:tc>
        <w:tc>
          <w:tcPr>
            <w:tcW w:w="812"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HAA5</w:t>
            </w:r>
          </w:p>
        </w:tc>
        <w:tc>
          <w:tcPr>
            <w:tcW w:w="4228" w:type="dxa"/>
            <w:gridSpan w:val="2"/>
            <w:vMerge/>
            <w:vAlign w:val="center"/>
          </w:tcPr>
          <w:p w:rsidR="005B0379" w:rsidRPr="00237DEF" w:rsidRDefault="005B0379" w:rsidP="00351DE2">
            <w:pPr>
              <w:jc w:val="center"/>
              <w:rPr>
                <w:rFonts w:asciiTheme="majorHAnsi" w:hAnsiTheme="majorHAnsi"/>
              </w:rPr>
            </w:pP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Quarter 1</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(Jan 1 – Mar 31)</w:t>
            </w:r>
          </w:p>
        </w:tc>
        <w:tc>
          <w:tcPr>
            <w:tcW w:w="1641" w:type="dxa"/>
            <w:gridSpan w:val="2"/>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2</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(Apr 1 – Jun 30)</w:t>
            </w: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3</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(Jul 1 – Sep 30)</w:t>
            </w:r>
          </w:p>
        </w:tc>
        <w:tc>
          <w:tcPr>
            <w:tcW w:w="1647"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4</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(Oct 1 – Dec 31)</w:t>
            </w:r>
          </w:p>
        </w:tc>
      </w:tr>
      <w:tr w:rsidR="00F903BA" w:rsidRPr="006E1174" w:rsidTr="00666A5D">
        <w:trPr>
          <w:trHeight w:val="576"/>
        </w:trPr>
        <w:tc>
          <w:tcPr>
            <w:tcW w:w="2177" w:type="dxa"/>
            <w:vAlign w:val="center"/>
          </w:tcPr>
          <w:p w:rsidR="005B0379" w:rsidRPr="00314308" w:rsidRDefault="00442690" w:rsidP="00271676">
            <w:pPr>
              <w:spacing w:after="200" w:line="276" w:lineRule="auto"/>
              <w:rPr>
                <w:rFonts w:ascii="Bradley Hand ITC" w:hAnsi="Bradley Hand ITC"/>
                <w:sz w:val="24"/>
                <w:szCs w:val="24"/>
              </w:rPr>
            </w:pPr>
            <w:r w:rsidRPr="00314308">
              <w:rPr>
                <w:rFonts w:ascii="Bradley Hand ITC" w:hAnsi="Bradley Hand ITC"/>
                <w:sz w:val="24"/>
                <w:szCs w:val="24"/>
              </w:rPr>
              <w:t xml:space="preserve">124 Main Street </w:t>
            </w:r>
          </w:p>
        </w:tc>
        <w:sdt>
          <w:sdtPr>
            <w:rPr>
              <w:rFonts w:asciiTheme="majorHAnsi" w:hAnsiTheme="majorHAnsi"/>
            </w:rPr>
            <w:id w:val="1330714887"/>
            <w14:checkbox>
              <w14:checked w14:val="1"/>
              <w14:checkedState w14:val="2612" w14:font="MS Gothic"/>
              <w14:uncheckedState w14:val="2610" w14:font="MS Gothic"/>
            </w14:checkbox>
          </w:sdtPr>
          <w:sdtEndPr/>
          <w:sdtContent>
            <w:tc>
              <w:tcPr>
                <w:tcW w:w="811"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560077765"/>
            <w14:checkbox>
              <w14:checked w14:val="1"/>
              <w14:checkedState w14:val="2612" w14:font="MS Gothic"/>
              <w14:uncheckedState w14:val="2610" w14:font="MS Gothic"/>
            </w14:checkbox>
          </w:sdtPr>
          <w:sdtEndPr/>
          <w:sdtContent>
            <w:tc>
              <w:tcPr>
                <w:tcW w:w="812"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037037" w:rsidRPr="00237DEF" w:rsidRDefault="002D1506" w:rsidP="00351DE2">
            <w:pPr>
              <w:rPr>
                <w:rFonts w:asciiTheme="majorHAnsi" w:hAnsiTheme="majorHAnsi"/>
              </w:rPr>
            </w:pPr>
            <w:sdt>
              <w:sdtPr>
                <w:rPr>
                  <w:rFonts w:asciiTheme="majorHAnsi" w:hAnsiTheme="majorHAnsi"/>
                </w:rPr>
                <w:id w:val="-397292932"/>
                <w14:checkbox>
                  <w14:checked w14:val="1"/>
                  <w14:checkedState w14:val="2612" w14:font="MS Gothic"/>
                  <w14:uncheckedState w14:val="2610" w14:font="MS Gothic"/>
                </w14:checkbox>
              </w:sdtPr>
              <w:sdtEndPr/>
              <w:sdtContent>
                <w:r w:rsidR="00442690" w:rsidRPr="00237DEF">
                  <w:rPr>
                    <w:rFonts w:ascii="MS Mincho" w:eastAsia="MS Mincho" w:hAnsi="MS Mincho" w:cs="MS Mincho" w:hint="eastAsia"/>
                  </w:rPr>
                  <w:t>☒</w:t>
                </w:r>
              </w:sdtContent>
            </w:sdt>
            <w:r w:rsidR="005E730D" w:rsidRPr="00237DEF">
              <w:rPr>
                <w:rFonts w:asciiTheme="majorHAnsi" w:hAnsiTheme="majorHAnsi"/>
              </w:rPr>
              <w:t>Highest</w:t>
            </w:r>
            <w:r w:rsidR="00F903BA" w:rsidRPr="00237DEF">
              <w:rPr>
                <w:rFonts w:asciiTheme="majorHAnsi" w:hAnsiTheme="majorHAnsi"/>
              </w:rPr>
              <w:t xml:space="preserve"> Stage 1</w:t>
            </w:r>
            <w:r w:rsidR="00B1643F" w:rsidRPr="00237DEF">
              <w:rPr>
                <w:rFonts w:asciiTheme="majorHAnsi" w:hAnsiTheme="majorHAnsi"/>
              </w:rPr>
              <w:t xml:space="preserve"> TTHM/HAA5 result</w:t>
            </w:r>
            <w:r w:rsidR="005E730D" w:rsidRPr="00237DEF">
              <w:rPr>
                <w:rFonts w:asciiTheme="majorHAnsi" w:hAnsiTheme="majorHAnsi"/>
              </w:rPr>
              <w:t xml:space="preserve">, </w:t>
            </w:r>
            <w:sdt>
              <w:sdtPr>
                <w:rPr>
                  <w:rFonts w:asciiTheme="majorHAnsi" w:hAnsiTheme="majorHAnsi"/>
                </w:rPr>
                <w:id w:val="-1566018512"/>
                <w14:checkbox>
                  <w14:checked w14:val="0"/>
                  <w14:checkedState w14:val="2612" w14:font="MS Gothic"/>
                  <w14:uncheckedState w14:val="2610" w14:font="MS Gothic"/>
                </w14:checkbox>
              </w:sdtPr>
              <w:sdtEndPr/>
              <w:sdtContent>
                <w:r w:rsidR="005E730D" w:rsidRPr="00237DEF">
                  <w:rPr>
                    <w:rFonts w:ascii="MS Mincho" w:eastAsia="MS Mincho" w:hAnsi="MS Mincho" w:cs="MS Mincho" w:hint="eastAsia"/>
                  </w:rPr>
                  <w:t>☐</w:t>
                </w:r>
              </w:sdtContent>
            </w:sdt>
            <w:r w:rsidR="00037037" w:rsidRPr="00237DEF">
              <w:rPr>
                <w:rFonts w:asciiTheme="majorHAnsi" w:hAnsiTheme="majorHAnsi"/>
              </w:rPr>
              <w:t xml:space="preserve"> </w:t>
            </w:r>
            <w:r w:rsidR="00F903BA" w:rsidRPr="00237DEF">
              <w:rPr>
                <w:rFonts w:asciiTheme="majorHAnsi" w:hAnsiTheme="majorHAnsi"/>
              </w:rPr>
              <w:t xml:space="preserve">Other </w:t>
            </w:r>
            <w:r w:rsidR="00037037" w:rsidRPr="00237DEF">
              <w:rPr>
                <w:rFonts w:asciiTheme="majorHAnsi" w:hAnsiTheme="majorHAnsi"/>
              </w:rPr>
              <w:t xml:space="preserve">Stage 1 site, </w:t>
            </w:r>
            <w:sdt>
              <w:sdtPr>
                <w:rPr>
                  <w:rFonts w:asciiTheme="majorHAnsi" w:hAnsiTheme="majorHAnsi"/>
                </w:rPr>
                <w:id w:val="848290302"/>
                <w14:checkbox>
                  <w14:checked w14:val="0"/>
                  <w14:checkedState w14:val="2612" w14:font="MS Gothic"/>
                  <w14:uncheckedState w14:val="2610" w14:font="MS Gothic"/>
                </w14:checkbox>
              </w:sdtPr>
              <w:sdtEndPr/>
              <w:sdtContent>
                <w:r w:rsidR="0003703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2D1506" w:rsidP="00351DE2">
            <w:pPr>
              <w:rPr>
                <w:rFonts w:asciiTheme="majorHAnsi" w:hAnsiTheme="majorHAnsi"/>
              </w:rPr>
            </w:pPr>
            <w:sdt>
              <w:sdtPr>
                <w:rPr>
                  <w:rFonts w:asciiTheme="majorHAnsi" w:hAnsiTheme="majorHAnsi"/>
                </w:rPr>
                <w:id w:val="13759668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w:t>
            </w:r>
          </w:p>
        </w:tc>
        <w:tc>
          <w:tcPr>
            <w:tcW w:w="1641" w:type="dxa"/>
            <w:vAlign w:val="center"/>
          </w:tcPr>
          <w:p w:rsidR="006654AD" w:rsidRDefault="006654AD" w:rsidP="00666A5D">
            <w:pPr>
              <w:jc w:val="center"/>
              <w:rPr>
                <w:rFonts w:ascii="Bradley Hand ITC" w:hAnsi="Bradley Hand ITC"/>
                <w:sz w:val="24"/>
                <w:szCs w:val="24"/>
              </w:rPr>
            </w:pPr>
            <w:r>
              <w:rPr>
                <w:rFonts w:ascii="Bradley Hand ITC" w:hAnsi="Bradley Hand ITC"/>
                <w:sz w:val="24"/>
                <w:szCs w:val="24"/>
              </w:rPr>
              <w:t>2</w:t>
            </w:r>
            <w:r w:rsidRPr="006654AD">
              <w:rPr>
                <w:rFonts w:ascii="Bradley Hand ITC" w:hAnsi="Bradley Hand ITC"/>
                <w:sz w:val="24"/>
                <w:szCs w:val="24"/>
                <w:vertAlign w:val="superscript"/>
              </w:rPr>
              <w:t>nd</w:t>
            </w:r>
            <w:r>
              <w:rPr>
                <w:rFonts w:ascii="Bradley Hand ITC" w:hAnsi="Bradley Hand ITC"/>
                <w:sz w:val="24"/>
                <w:szCs w:val="24"/>
              </w:rPr>
              <w:t xml:space="preserve"> week of</w:t>
            </w:r>
          </w:p>
          <w:p w:rsidR="005B0379" w:rsidRPr="00237DEF" w:rsidRDefault="00666A5D" w:rsidP="00666A5D">
            <w:pPr>
              <w:jc w:val="center"/>
              <w:rPr>
                <w:rFonts w:asciiTheme="majorHAnsi" w:hAnsiTheme="majorHAnsi"/>
              </w:rPr>
            </w:pPr>
            <w:r>
              <w:rPr>
                <w:rFonts w:ascii="Bradley Hand ITC" w:hAnsi="Bradley Hand ITC"/>
                <w:sz w:val="24"/>
                <w:szCs w:val="24"/>
              </w:rPr>
              <w:t>March</w:t>
            </w:r>
          </w:p>
        </w:tc>
        <w:tc>
          <w:tcPr>
            <w:tcW w:w="1641" w:type="dxa"/>
            <w:gridSpan w:val="2"/>
            <w:vAlign w:val="center"/>
          </w:tcPr>
          <w:p w:rsidR="006654AD" w:rsidRDefault="006654AD" w:rsidP="00666A5D">
            <w:pPr>
              <w:jc w:val="center"/>
              <w:rPr>
                <w:rFonts w:ascii="Bradley Hand ITC" w:hAnsi="Bradley Hand ITC"/>
                <w:sz w:val="24"/>
                <w:szCs w:val="24"/>
              </w:rPr>
            </w:pPr>
            <w:r>
              <w:rPr>
                <w:rFonts w:ascii="Bradley Hand ITC" w:hAnsi="Bradley Hand ITC"/>
                <w:sz w:val="24"/>
                <w:szCs w:val="24"/>
              </w:rPr>
              <w:t>2</w:t>
            </w:r>
            <w:r w:rsidRPr="006654AD">
              <w:rPr>
                <w:rFonts w:ascii="Bradley Hand ITC" w:hAnsi="Bradley Hand ITC"/>
                <w:sz w:val="24"/>
                <w:szCs w:val="24"/>
                <w:vertAlign w:val="superscript"/>
              </w:rPr>
              <w:t>nd</w:t>
            </w:r>
            <w:r>
              <w:rPr>
                <w:rFonts w:ascii="Bradley Hand ITC" w:hAnsi="Bradley Hand ITC"/>
                <w:sz w:val="24"/>
                <w:szCs w:val="24"/>
              </w:rPr>
              <w:t xml:space="preserve"> week of </w:t>
            </w:r>
          </w:p>
          <w:p w:rsidR="005B0379" w:rsidRPr="00237DEF" w:rsidRDefault="00666A5D" w:rsidP="00666A5D">
            <w:pPr>
              <w:jc w:val="center"/>
              <w:rPr>
                <w:rFonts w:asciiTheme="majorHAnsi" w:hAnsiTheme="majorHAnsi"/>
              </w:rPr>
            </w:pPr>
            <w:r>
              <w:rPr>
                <w:rFonts w:ascii="Bradley Hand ITC" w:hAnsi="Bradley Hand ITC"/>
                <w:sz w:val="24"/>
                <w:szCs w:val="24"/>
              </w:rPr>
              <w:t>June</w:t>
            </w:r>
          </w:p>
        </w:tc>
        <w:tc>
          <w:tcPr>
            <w:tcW w:w="1641" w:type="dxa"/>
            <w:vAlign w:val="center"/>
          </w:tcPr>
          <w:p w:rsidR="005B0379" w:rsidRPr="00237DEF" w:rsidRDefault="006654AD" w:rsidP="00666A5D">
            <w:pPr>
              <w:spacing w:after="200" w:line="276" w:lineRule="auto"/>
              <w:jc w:val="center"/>
              <w:rPr>
                <w:rFonts w:asciiTheme="majorHAnsi" w:hAnsiTheme="majorHAnsi"/>
              </w:rPr>
            </w:pPr>
            <w:r>
              <w:rPr>
                <w:rFonts w:ascii="Bradley Hand ITC" w:hAnsi="Bradley Hand ITC"/>
                <w:sz w:val="24"/>
                <w:szCs w:val="24"/>
              </w:rPr>
              <w:t>2</w:t>
            </w:r>
            <w:r w:rsidRPr="006654AD">
              <w:rPr>
                <w:rFonts w:ascii="Bradley Hand ITC" w:hAnsi="Bradley Hand ITC"/>
                <w:sz w:val="24"/>
                <w:szCs w:val="24"/>
                <w:vertAlign w:val="superscript"/>
              </w:rPr>
              <w:t>nd</w:t>
            </w:r>
            <w:r>
              <w:rPr>
                <w:rFonts w:ascii="Bradley Hand ITC" w:hAnsi="Bradley Hand ITC"/>
                <w:sz w:val="24"/>
                <w:szCs w:val="24"/>
              </w:rPr>
              <w:t xml:space="preserve"> week of </w:t>
            </w:r>
            <w:r w:rsidR="00E72FDF">
              <w:rPr>
                <w:rFonts w:ascii="Bradley Hand ITC" w:hAnsi="Bradley Hand ITC"/>
                <w:sz w:val="24"/>
                <w:szCs w:val="24"/>
              </w:rPr>
              <w:t>September</w:t>
            </w:r>
          </w:p>
        </w:tc>
        <w:tc>
          <w:tcPr>
            <w:tcW w:w="1647" w:type="dxa"/>
            <w:vAlign w:val="center"/>
          </w:tcPr>
          <w:p w:rsidR="006654AD" w:rsidRDefault="006654AD" w:rsidP="00666A5D">
            <w:pPr>
              <w:jc w:val="center"/>
              <w:rPr>
                <w:rFonts w:ascii="Bradley Hand ITC" w:hAnsi="Bradley Hand ITC"/>
                <w:sz w:val="24"/>
                <w:szCs w:val="24"/>
              </w:rPr>
            </w:pPr>
            <w:r>
              <w:rPr>
                <w:rFonts w:ascii="Bradley Hand ITC" w:hAnsi="Bradley Hand ITC"/>
                <w:sz w:val="24"/>
                <w:szCs w:val="24"/>
              </w:rPr>
              <w:t>2</w:t>
            </w:r>
            <w:r w:rsidRPr="006654AD">
              <w:rPr>
                <w:rFonts w:ascii="Bradley Hand ITC" w:hAnsi="Bradley Hand ITC"/>
                <w:sz w:val="24"/>
                <w:szCs w:val="24"/>
                <w:vertAlign w:val="superscript"/>
              </w:rPr>
              <w:t>nd</w:t>
            </w:r>
            <w:r>
              <w:rPr>
                <w:rFonts w:ascii="Bradley Hand ITC" w:hAnsi="Bradley Hand ITC"/>
                <w:sz w:val="24"/>
                <w:szCs w:val="24"/>
              </w:rPr>
              <w:t xml:space="preserve"> week of</w:t>
            </w:r>
          </w:p>
          <w:p w:rsidR="005B0379" w:rsidRPr="00237DEF" w:rsidRDefault="00666A5D" w:rsidP="00666A5D">
            <w:pPr>
              <w:jc w:val="center"/>
              <w:rPr>
                <w:rFonts w:asciiTheme="majorHAnsi" w:hAnsiTheme="majorHAnsi"/>
              </w:rPr>
            </w:pPr>
            <w:r>
              <w:rPr>
                <w:rFonts w:ascii="Bradley Hand ITC" w:hAnsi="Bradley Hand ITC"/>
                <w:sz w:val="24"/>
                <w:szCs w:val="24"/>
              </w:rPr>
              <w:t>December</w:t>
            </w:r>
          </w:p>
        </w:tc>
      </w:tr>
      <w:tr w:rsidR="00351DE2" w:rsidRPr="006E1174" w:rsidTr="00271676">
        <w:trPr>
          <w:trHeight w:val="576"/>
        </w:trPr>
        <w:tc>
          <w:tcPr>
            <w:tcW w:w="2177" w:type="dxa"/>
            <w:vAlign w:val="center"/>
          </w:tcPr>
          <w:p w:rsidR="00F903BA" w:rsidRPr="00314308" w:rsidRDefault="00666A5D" w:rsidP="00271676">
            <w:pPr>
              <w:rPr>
                <w:rFonts w:ascii="Bradley Hand ITC" w:hAnsi="Bradley Hand ITC"/>
                <w:sz w:val="24"/>
                <w:szCs w:val="24"/>
              </w:rPr>
            </w:pPr>
            <w:r w:rsidRPr="00237DEF">
              <w:rPr>
                <w:rFonts w:asciiTheme="majorHAnsi" w:hAnsiTheme="majorHAnsi"/>
                <w:noProof/>
              </w:rPr>
              <mc:AlternateContent>
                <mc:Choice Requires="wps">
                  <w:drawing>
                    <wp:anchor distT="0" distB="0" distL="114300" distR="114300" simplePos="0" relativeHeight="251659264" behindDoc="0" locked="0" layoutInCell="1" allowOverlap="1" wp14:anchorId="39057211" wp14:editId="20F5BA23">
                      <wp:simplePos x="0" y="0"/>
                      <wp:positionH relativeFrom="column">
                        <wp:posOffset>-119380</wp:posOffset>
                      </wp:positionH>
                      <wp:positionV relativeFrom="paragraph">
                        <wp:posOffset>32385</wp:posOffset>
                      </wp:positionV>
                      <wp:extent cx="1527810" cy="1106805"/>
                      <wp:effectExtent l="0" t="285750" r="72390" b="17145"/>
                      <wp:wrapNone/>
                      <wp:docPr id="1" name="Rectangular Callout 1"/>
                      <wp:cNvGraphicFramePr/>
                      <a:graphic xmlns:a="http://schemas.openxmlformats.org/drawingml/2006/main">
                        <a:graphicData uri="http://schemas.microsoft.com/office/word/2010/wordprocessingShape">
                          <wps:wsp>
                            <wps:cNvSpPr/>
                            <wps:spPr>
                              <a:xfrm>
                                <a:off x="397042" y="3801979"/>
                                <a:ext cx="1527810" cy="1106805"/>
                              </a:xfrm>
                              <a:prstGeom prst="wedgeRectCallout">
                                <a:avLst>
                                  <a:gd name="adj1" fmla="val 53192"/>
                                  <a:gd name="adj2" fmla="val -74468"/>
                                </a:avLst>
                              </a:prstGeom>
                              <a:solidFill>
                                <a:schemeClr val="accent1">
                                  <a:alpha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65EA7" w:rsidRPr="00E469B9" w:rsidRDefault="00666A5D" w:rsidP="00E469B9">
                                  <w:pPr>
                                    <w:jc w:val="center"/>
                                    <w:rPr>
                                      <w:color w:val="4F81BD" w:themeColor="accent1"/>
                                    </w:rPr>
                                  </w:pPr>
                                  <w:r>
                                    <w:rPr>
                                      <w:b/>
                                      <w:color w:val="4F81BD" w:themeColor="accent1"/>
                                    </w:rPr>
                                    <w:t>S</w:t>
                                  </w:r>
                                  <w:r w:rsidRPr="00E469B9">
                                    <w:rPr>
                                      <w:b/>
                                      <w:color w:val="4F81BD" w:themeColor="accent1"/>
                                    </w:rPr>
                                    <w:t xml:space="preserve">W </w:t>
                                  </w:r>
                                  <w:r w:rsidR="00F3618B" w:rsidRPr="00E469B9">
                                    <w:rPr>
                                      <w:b/>
                                      <w:color w:val="4F81BD" w:themeColor="accent1"/>
                                    </w:rPr>
                                    <w:t xml:space="preserve">Systems serving </w:t>
                                  </w:r>
                                  <w:r w:rsidR="00E155DB" w:rsidRPr="00E469B9">
                                    <w:rPr>
                                      <w:b/>
                                      <w:color w:val="4F81BD" w:themeColor="accent1"/>
                                    </w:rPr>
                                    <w:t xml:space="preserve">   </w:t>
                                  </w:r>
                                  <w:r w:rsidR="00F3618B" w:rsidRPr="00E469B9">
                                    <w:rPr>
                                      <w:b/>
                                      <w:color w:val="4F81BD" w:themeColor="accent1"/>
                                    </w:rPr>
                                    <w:t>500</w:t>
                                  </w:r>
                                  <w:r w:rsidR="0064554E">
                                    <w:rPr>
                                      <w:b/>
                                      <w:color w:val="4F81BD" w:themeColor="accent1"/>
                                    </w:rPr>
                                    <w:t xml:space="preserve"> to </w:t>
                                  </w:r>
                                  <w:r>
                                    <w:rPr>
                                      <w:b/>
                                      <w:color w:val="4F81BD" w:themeColor="accent1"/>
                                    </w:rPr>
                                    <w:t>3,300</w:t>
                                  </w:r>
                                  <w:r w:rsidR="00565EA7" w:rsidRPr="00E469B9">
                                    <w:rPr>
                                      <w:b/>
                                      <w:color w:val="4F81BD" w:themeColor="accent1"/>
                                    </w:rPr>
                                    <w:t xml:space="preserve"> </w:t>
                                  </w:r>
                                  <w:r w:rsidR="00F3618B" w:rsidRPr="00E469B9">
                                    <w:rPr>
                                      <w:b/>
                                      <w:color w:val="4F81BD" w:themeColor="accent1"/>
                                    </w:rPr>
                                    <w:t xml:space="preserve">people </w:t>
                                  </w:r>
                                  <w:r w:rsidRPr="00E469B9">
                                    <w:rPr>
                                      <w:b/>
                                      <w:color w:val="4F81BD" w:themeColor="accent1"/>
                                    </w:rPr>
                                    <w:t>need one dual set or two single samples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 o:spid="_x0000_s1026" type="#_x0000_t61" style="position:absolute;margin-left:-9.4pt;margin-top:2.55pt;width:120.3pt;height:8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sdb1AIAABIGAAAOAAAAZHJzL2Uyb0RvYy54bWysVE1v2zAMvQ/YfxB0b22nSfOBOkWQosOA&#10;og3aDj0zshR7kCVNUuJkv36U7DjB2u0w7GKTIvlIPlG8ud3Xkuy4dZVWOc0uU0q4Yrqo1Can317v&#10;LyaUOA+qAKkVz+mBO3o7//zppjEzPtCllgW3BEGUmzUmp6X3ZpYkjpW8BnepDVdoFNrW4FG1m6Sw&#10;0CB6LZNBml4njbaFsZpx5/D0rjXSecQXgjP/JITjnsicYm0+fm38rsM3md/AbGPBlBXryoB/qKKG&#10;SmHSHuoOPJCtrd5B1RWz2mnhL5muEy1ExXjsAbvJ0t+6eSnB8NgLkuNMT5P7f7DscbeypCrw7ihR&#10;UOMVPSNpoDZbCZYsQUq99SQLRDXGzdD/xaxspzkUQ9d7Yevwx37IPqdX03E6HFByQHGSZtPxtOWZ&#10;7z1haM9Gg/Ekw+tg6JFl6fUkHQWP5IRkrPNfuK5JEHLa8GLDQ2FdQZFr2D04H0kvutKh+I5tiFri&#10;He5AktFVNh20uTdnPljayediPBxeT7r0HSQWciwg4Dstq+K+kjIqYTT5UlqCGXIKjHHls7YgaUpo&#10;j7NRmsbpQqg4zCEidngGlgRGWw6j5A+ShxRSPXOBl4JUDSJwj/A+pyuh4O1xSPlxzggYkAU20WO3&#10;Rf8Bu72Ozj+E8via+uD0b4W1wX1EzKyV74PrSmn7EYBEJrvMrT9SdkZNEP1+vUeXIK51ccDptbp9&#10;1s6w+wrH5QGcX4HFGcARw93kn/AjpG5yqjuJklLbnx+dB398XmilpMG9kFP3YwuWUyK/Knx402w4&#10;DIskKsPReICKPbeszy1qWy81TglOJVYXxeDv5VEUVtdvuMIWISuaQDHMnVPm7VFZ+nZf4RJkfLGI&#10;brg8DPgH9WJYAA8Eh4F93b+BNd2b8fjcHvVxh8AsznZL7sk3RCq92HotKh+MJ147BRdPnNtuSYbN&#10;dq5Hr9Mqn/8CAAD//wMAUEsDBBQABgAIAAAAIQBjfOlT3gAAAAkBAAAPAAAAZHJzL2Rvd25yZXYu&#10;eG1sTI9LT8MwEITvSPwHa5G4tY4jHm2IU1UgDuWASuDA0Y03DxGvo9hpwr9nOcFxNKOZb/Ld4npx&#10;xjF0njSodQICqfK2o0bDx/vzagMiREPW9J5QwzcG2BWXF7nJrJ/pDc9lbASXUMiMhjbGIZMyVC06&#10;E9Z+QGKv9qMzkeXYSDuamctdL9MkuZPOdMQLrRnwscXqq5ychiXdD4e0Vlv7Mn/KY/30eijjpPX1&#10;1bJ/ABFxiX9h+MVndCiY6eQnskH0GlZqw+hRw60CwX6aKtYnDt5vb0AWufz/oPgBAAD//wMAUEsB&#10;Ai0AFAAGAAgAAAAhALaDOJL+AAAA4QEAABMAAAAAAAAAAAAAAAAAAAAAAFtDb250ZW50X1R5cGVz&#10;XS54bWxQSwECLQAUAAYACAAAACEAOP0h/9YAAACUAQAACwAAAAAAAAAAAAAAAAAvAQAAX3JlbHMv&#10;LnJlbHNQSwECLQAUAAYACAAAACEAbQbHW9QCAAASBgAADgAAAAAAAAAAAAAAAAAuAgAAZHJzL2Uy&#10;b0RvYy54bWxQSwECLQAUAAYACAAAACEAY3zpU94AAAAJAQAADwAAAAAAAAAAAAAAAAAuBQAAZHJz&#10;L2Rvd25yZXYueG1sUEsFBgAAAAAEAAQA8wAAADkGAAAAAA==&#10;" adj="22289,-5285" fillcolor="#4f81bd [3204]" strokecolor="#243f60 [1604]" strokeweight="2pt">
                      <v:fill opacity="9766f"/>
                      <v:textbox>
                        <w:txbxContent>
                          <w:p w:rsidR="00565EA7" w:rsidRPr="00E469B9" w:rsidRDefault="00666A5D" w:rsidP="00E469B9">
                            <w:pPr>
                              <w:jc w:val="center"/>
                              <w:rPr>
                                <w:color w:val="4F81BD" w:themeColor="accent1"/>
                              </w:rPr>
                            </w:pPr>
                            <w:r>
                              <w:rPr>
                                <w:b/>
                                <w:color w:val="4F81BD" w:themeColor="accent1"/>
                              </w:rPr>
                              <w:t>S</w:t>
                            </w:r>
                            <w:r w:rsidRPr="00E469B9">
                              <w:rPr>
                                <w:b/>
                                <w:color w:val="4F81BD" w:themeColor="accent1"/>
                              </w:rPr>
                              <w:t xml:space="preserve">W </w:t>
                            </w:r>
                            <w:r w:rsidR="00F3618B" w:rsidRPr="00E469B9">
                              <w:rPr>
                                <w:b/>
                                <w:color w:val="4F81BD" w:themeColor="accent1"/>
                              </w:rPr>
                              <w:t xml:space="preserve">Systems serving </w:t>
                            </w:r>
                            <w:r w:rsidR="00E155DB" w:rsidRPr="00E469B9">
                              <w:rPr>
                                <w:b/>
                                <w:color w:val="4F81BD" w:themeColor="accent1"/>
                              </w:rPr>
                              <w:t xml:space="preserve">   </w:t>
                            </w:r>
                            <w:r w:rsidR="00F3618B" w:rsidRPr="00E469B9">
                              <w:rPr>
                                <w:b/>
                                <w:color w:val="4F81BD" w:themeColor="accent1"/>
                              </w:rPr>
                              <w:t>500</w:t>
                            </w:r>
                            <w:r w:rsidR="0064554E">
                              <w:rPr>
                                <w:b/>
                                <w:color w:val="4F81BD" w:themeColor="accent1"/>
                              </w:rPr>
                              <w:t xml:space="preserve"> to </w:t>
                            </w:r>
                            <w:r>
                              <w:rPr>
                                <w:b/>
                                <w:color w:val="4F81BD" w:themeColor="accent1"/>
                              </w:rPr>
                              <w:t>3,300</w:t>
                            </w:r>
                            <w:r w:rsidR="00565EA7" w:rsidRPr="00E469B9">
                              <w:rPr>
                                <w:b/>
                                <w:color w:val="4F81BD" w:themeColor="accent1"/>
                              </w:rPr>
                              <w:t xml:space="preserve"> </w:t>
                            </w:r>
                            <w:r w:rsidR="00F3618B" w:rsidRPr="00E469B9">
                              <w:rPr>
                                <w:b/>
                                <w:color w:val="4F81BD" w:themeColor="accent1"/>
                              </w:rPr>
                              <w:t xml:space="preserve">people </w:t>
                            </w:r>
                            <w:r w:rsidRPr="00E469B9">
                              <w:rPr>
                                <w:b/>
                                <w:color w:val="4F81BD" w:themeColor="accent1"/>
                              </w:rPr>
                              <w:t>need one dual set or two single samples</w:t>
                            </w:r>
                          </w:p>
                        </w:txbxContent>
                      </v:textbox>
                    </v:shape>
                  </w:pict>
                </mc:Fallback>
              </mc:AlternateContent>
            </w:r>
          </w:p>
        </w:tc>
        <w:sdt>
          <w:sdtPr>
            <w:rPr>
              <w:rFonts w:asciiTheme="majorHAnsi" w:hAnsiTheme="majorHAnsi"/>
            </w:rPr>
            <w:id w:val="1679224474"/>
            <w14:checkbox>
              <w14:checked w14:val="0"/>
              <w14:checkedState w14:val="2612" w14:font="MS Gothic"/>
              <w14:uncheckedState w14:val="2610" w14:font="MS Gothic"/>
            </w14:checkbox>
          </w:sdtPr>
          <w:sdtEndPr/>
          <w:sdtContent>
            <w:tc>
              <w:tcPr>
                <w:tcW w:w="811" w:type="dxa"/>
                <w:vAlign w:val="center"/>
              </w:tcPr>
              <w:p w:rsidR="00F903BA" w:rsidRPr="00237DEF" w:rsidRDefault="00666A5D"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666446979"/>
            <w14:checkbox>
              <w14:checked w14:val="0"/>
              <w14:checkedState w14:val="2612" w14:font="MS Gothic"/>
              <w14:uncheckedState w14:val="2610" w14:font="MS Gothic"/>
            </w14:checkbox>
          </w:sdtPr>
          <w:sdtEndPr/>
          <w:sdtContent>
            <w:tc>
              <w:tcPr>
                <w:tcW w:w="812" w:type="dxa"/>
                <w:vAlign w:val="center"/>
              </w:tcPr>
              <w:p w:rsidR="00F903BA" w:rsidRPr="00237DEF" w:rsidRDefault="00666A5D"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2D1506" w:rsidP="00351DE2">
            <w:pPr>
              <w:rPr>
                <w:rFonts w:asciiTheme="majorHAnsi" w:hAnsiTheme="majorHAnsi"/>
              </w:rPr>
            </w:pPr>
            <w:sdt>
              <w:sdtPr>
                <w:rPr>
                  <w:rFonts w:asciiTheme="majorHAnsi" w:hAnsiTheme="majorHAnsi"/>
                </w:rPr>
                <w:id w:val="-71643976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w:t>
            </w:r>
            <w:r w:rsidR="00E72FDF">
              <w:rPr>
                <w:rFonts w:asciiTheme="majorHAnsi" w:hAnsiTheme="majorHAnsi"/>
              </w:rPr>
              <w:t xml:space="preserve">TTHM/HAA5 </w:t>
            </w:r>
            <w:r w:rsidR="00F903BA" w:rsidRPr="00237DEF">
              <w:rPr>
                <w:rFonts w:asciiTheme="majorHAnsi" w:hAnsiTheme="majorHAnsi"/>
              </w:rPr>
              <w:t xml:space="preserve">result, </w:t>
            </w:r>
            <w:sdt>
              <w:sdtPr>
                <w:rPr>
                  <w:rFonts w:asciiTheme="majorHAnsi" w:hAnsiTheme="majorHAnsi"/>
                </w:rPr>
                <w:id w:val="134224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781459931"/>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2D1506" w:rsidP="00B1643F">
            <w:pPr>
              <w:rPr>
                <w:rFonts w:asciiTheme="majorHAnsi" w:hAnsiTheme="majorHAnsi"/>
              </w:rPr>
            </w:pPr>
            <w:sdt>
              <w:sdtPr>
                <w:rPr>
                  <w:rFonts w:asciiTheme="majorHAnsi" w:hAnsiTheme="majorHAnsi"/>
                </w:rPr>
                <w:id w:val="516277204"/>
                <w14:checkbox>
                  <w14:checked w14:val="0"/>
                  <w14:checkedState w14:val="2612" w14:font="MS Gothic"/>
                  <w14:uncheckedState w14:val="2610" w14:font="MS Gothic"/>
                </w14:checkbox>
              </w:sdtPr>
              <w:sdtEndPr/>
              <w:sdtContent>
                <w:r w:rsidR="00DA3EFE">
                  <w:rPr>
                    <w:rFonts w:ascii="MS Gothic" w:eastAsia="MS Gothic" w:hAnsi="MS Gothic" w:hint="eastAsia"/>
                  </w:rPr>
                  <w:t>☐</w:t>
                </w:r>
              </w:sdtContent>
            </w:sdt>
            <w:r w:rsidR="00B1643F" w:rsidRPr="00237DEF">
              <w:rPr>
                <w:rFonts w:asciiTheme="majorHAnsi" w:hAnsiTheme="majorHAnsi"/>
              </w:rPr>
              <w:t>Other:</w:t>
            </w:r>
            <w:r w:rsidR="00E72FDF">
              <w:rPr>
                <w:rFonts w:asciiTheme="majorHAnsi" w:hAnsiTheme="majorHAnsi"/>
              </w:rPr>
              <w:t xml:space="preserve"> After booster chlorination</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486628420"/>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37111116"/>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237DEF" w:rsidRDefault="002D1506" w:rsidP="00351DE2">
            <w:pPr>
              <w:rPr>
                <w:rFonts w:asciiTheme="majorHAnsi" w:hAnsiTheme="majorHAnsi"/>
              </w:rPr>
            </w:pPr>
            <w:sdt>
              <w:sdtPr>
                <w:rPr>
                  <w:rFonts w:asciiTheme="majorHAnsi" w:hAnsiTheme="majorHAnsi"/>
                </w:rPr>
                <w:id w:val="-814568447"/>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19532090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1533528587"/>
                <w14:checkbox>
                  <w14:checked w14:val="0"/>
                  <w14:checkedState w14:val="2612" w14:font="MS Gothic"/>
                  <w14:uncheckedState w14:val="2610" w14:font="MS Gothic"/>
                </w14:checkbox>
              </w:sdtPr>
              <w:sdtEndPr/>
              <w:sdtContent>
                <w:r w:rsidR="00BE6DA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2D1506" w:rsidP="00351DE2">
            <w:pPr>
              <w:rPr>
                <w:rFonts w:asciiTheme="majorHAnsi" w:hAnsiTheme="majorHAnsi"/>
              </w:rPr>
            </w:pPr>
            <w:sdt>
              <w:sdtPr>
                <w:rPr>
                  <w:rFonts w:asciiTheme="majorHAnsi" w:hAnsiTheme="majorHAnsi"/>
                </w:rPr>
                <w:id w:val="2025817245"/>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Other:__________________________________</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bl>
    <w:p w:rsidR="005258E9" w:rsidRPr="006E1174" w:rsidRDefault="005258E9" w:rsidP="00E469B9">
      <w:pPr>
        <w:tabs>
          <w:tab w:val="left" w:pos="-90"/>
        </w:tabs>
        <w:spacing w:after="0" w:line="240" w:lineRule="auto"/>
        <w:ind w:left="-86"/>
        <w:rPr>
          <w:rFonts w:ascii="Cambria" w:hAnsi="Cambria"/>
        </w:rPr>
      </w:pPr>
      <w:r w:rsidRPr="004F46AB">
        <w:rPr>
          <w:rFonts w:ascii="Cambria" w:hAnsi="Cambria"/>
          <w:b/>
        </w:rPr>
        <w:t>Instructions:</w:t>
      </w:r>
      <w:r w:rsidRPr="006E1174">
        <w:rPr>
          <w:rFonts w:ascii="Cambria" w:hAnsi="Cambria"/>
        </w:rPr>
        <w:t xml:space="preserve"> </w:t>
      </w:r>
      <w:r w:rsidR="00E177CF">
        <w:rPr>
          <w:rFonts w:ascii="Cambria" w:hAnsi="Cambria"/>
        </w:rPr>
        <w:t xml:space="preserve"> </w:t>
      </w:r>
      <w:r w:rsidR="004F46AB">
        <w:rPr>
          <w:rFonts w:ascii="Cambria" w:hAnsi="Cambria"/>
        </w:rPr>
        <w:t xml:space="preserve">Write or </w:t>
      </w:r>
      <w:r w:rsidR="00E177CF">
        <w:rPr>
          <w:rFonts w:ascii="Cambria" w:hAnsi="Cambria"/>
        </w:rPr>
        <w:t xml:space="preserve">type the monitoring location then select the box if that </w:t>
      </w:r>
      <w:r w:rsidR="004F46AB">
        <w:rPr>
          <w:rFonts w:ascii="Cambria" w:hAnsi="Cambria"/>
        </w:rPr>
        <w:t>location</w:t>
      </w:r>
      <w:r w:rsidR="00E177CF">
        <w:rPr>
          <w:rFonts w:ascii="Cambria" w:hAnsi="Cambria"/>
        </w:rPr>
        <w:t xml:space="preserve"> is for TTHM </w:t>
      </w:r>
      <w:r w:rsidR="00365561">
        <w:rPr>
          <w:rFonts w:ascii="Cambria" w:hAnsi="Cambria"/>
        </w:rPr>
        <w:t>and</w:t>
      </w:r>
      <w:r w:rsidR="00E177CF">
        <w:rPr>
          <w:rFonts w:ascii="Cambria" w:hAnsi="Cambria"/>
        </w:rPr>
        <w:t xml:space="preserve">/or HAA5 monitoring. </w:t>
      </w:r>
      <w:r w:rsidR="00F903BA">
        <w:rPr>
          <w:rFonts w:ascii="Cambria" w:hAnsi="Cambria"/>
        </w:rPr>
        <w:t>P</w:t>
      </w:r>
      <w:r w:rsidRPr="006E1174">
        <w:rPr>
          <w:rFonts w:ascii="Cambria" w:hAnsi="Cambria"/>
        </w:rPr>
        <w:t>rovide</w:t>
      </w:r>
      <w:r w:rsidR="00F903BA">
        <w:rPr>
          <w:rFonts w:ascii="Cambria" w:hAnsi="Cambria"/>
        </w:rPr>
        <w:t xml:space="preserve"> a</w:t>
      </w:r>
      <w:r w:rsidRPr="006E1174">
        <w:rPr>
          <w:rFonts w:ascii="Cambria" w:hAnsi="Cambria"/>
        </w:rPr>
        <w:t xml:space="preserve"> justification for </w:t>
      </w:r>
      <w:r w:rsidR="00F903BA">
        <w:rPr>
          <w:rFonts w:ascii="Cambria" w:hAnsi="Cambria"/>
        </w:rPr>
        <w:t xml:space="preserve">each </w:t>
      </w:r>
      <w:r w:rsidR="00E735C4">
        <w:rPr>
          <w:rFonts w:ascii="Cambria" w:hAnsi="Cambria"/>
        </w:rPr>
        <w:t>monitoring location</w:t>
      </w:r>
      <w:r w:rsidR="00E177CF">
        <w:rPr>
          <w:rFonts w:ascii="Cambria" w:hAnsi="Cambria"/>
        </w:rPr>
        <w:t xml:space="preserve"> (common justifications</w:t>
      </w:r>
      <w:r w:rsidR="00365561">
        <w:rPr>
          <w:rFonts w:ascii="Cambria" w:hAnsi="Cambria"/>
        </w:rPr>
        <w:t xml:space="preserve"> are</w:t>
      </w:r>
      <w:r w:rsidR="00E177CF">
        <w:rPr>
          <w:rFonts w:ascii="Cambria" w:hAnsi="Cambria"/>
        </w:rPr>
        <w:t xml:space="preserve"> provided or write in other explanation)</w:t>
      </w:r>
      <w:r w:rsidRPr="006E1174">
        <w:rPr>
          <w:rFonts w:ascii="Cambria" w:hAnsi="Cambria"/>
        </w:rPr>
        <w:t xml:space="preserve">. </w:t>
      </w:r>
      <w:r w:rsidR="00E177CF">
        <w:rPr>
          <w:rFonts w:ascii="Cambria" w:hAnsi="Cambria"/>
        </w:rPr>
        <w:t>P</w:t>
      </w:r>
      <w:r w:rsidRPr="006E1174">
        <w:rPr>
          <w:rFonts w:ascii="Cambria" w:hAnsi="Cambria"/>
        </w:rPr>
        <w:t>rovid</w:t>
      </w:r>
      <w:r w:rsidR="00E735C4">
        <w:rPr>
          <w:rFonts w:ascii="Cambria" w:hAnsi="Cambria"/>
        </w:rPr>
        <w:t xml:space="preserve">e a projected sampling date(s) </w:t>
      </w:r>
      <w:r w:rsidR="00E177CF">
        <w:rPr>
          <w:rFonts w:ascii="Cambria" w:hAnsi="Cambria"/>
        </w:rPr>
        <w:t xml:space="preserve">month or </w:t>
      </w:r>
      <w:r w:rsidR="00E735C4">
        <w:rPr>
          <w:rFonts w:ascii="Cambria" w:hAnsi="Cambria"/>
        </w:rPr>
        <w:t>week and month for the monitoring periods</w:t>
      </w:r>
      <w:r w:rsidRPr="006E1174">
        <w:rPr>
          <w:rFonts w:ascii="Cambria" w:hAnsi="Cambria"/>
        </w:rPr>
        <w:t xml:space="preserve"> required for your system</w:t>
      </w:r>
      <w:r w:rsidR="00351DE2">
        <w:rPr>
          <w:rFonts w:ascii="Cambria" w:hAnsi="Cambria"/>
        </w:rPr>
        <w:t xml:space="preserve">.  For example: write </w:t>
      </w:r>
      <w:r w:rsidR="00E177CF">
        <w:rPr>
          <w:rFonts w:ascii="Cambria" w:hAnsi="Cambria"/>
        </w:rPr>
        <w:t>“</w:t>
      </w:r>
      <w:r w:rsidR="00E735C4">
        <w:rPr>
          <w:rFonts w:ascii="Cambria" w:hAnsi="Cambria"/>
        </w:rPr>
        <w:t>August</w:t>
      </w:r>
      <w:r w:rsidR="00E177CF">
        <w:rPr>
          <w:rFonts w:ascii="Cambria" w:hAnsi="Cambria"/>
        </w:rPr>
        <w:t>”</w:t>
      </w:r>
      <w:r w:rsidR="00E735C4">
        <w:rPr>
          <w:rFonts w:ascii="Cambria" w:hAnsi="Cambria"/>
        </w:rPr>
        <w:t xml:space="preserve">  in</w:t>
      </w:r>
      <w:r w:rsidRPr="006E1174">
        <w:rPr>
          <w:rFonts w:ascii="Cambria" w:hAnsi="Cambria"/>
        </w:rPr>
        <w:t xml:space="preserve"> Calendar Quarter 3 if your system is required to monitor yearly</w:t>
      </w:r>
      <w:r w:rsidR="00E735C4">
        <w:rPr>
          <w:rFonts w:ascii="Cambria" w:hAnsi="Cambria"/>
        </w:rPr>
        <w:t xml:space="preserve"> and August was your historic or </w:t>
      </w:r>
      <w:r w:rsidR="00E177CF">
        <w:rPr>
          <w:rFonts w:ascii="Cambria" w:hAnsi="Cambria"/>
        </w:rPr>
        <w:t xml:space="preserve">is your </w:t>
      </w:r>
      <w:r w:rsidR="00E735C4">
        <w:rPr>
          <w:rFonts w:ascii="Cambria" w:hAnsi="Cambria"/>
        </w:rPr>
        <w:t>predicted month with the highest results. If your system is required to monitor quarterly</w:t>
      </w:r>
      <w:r w:rsidR="004F46AB">
        <w:rPr>
          <w:rFonts w:ascii="Cambria" w:hAnsi="Cambria"/>
        </w:rPr>
        <w:t xml:space="preserve"> (must be every 90 days)</w:t>
      </w:r>
      <w:r w:rsidR="00E735C4">
        <w:rPr>
          <w:rFonts w:ascii="Cambria" w:hAnsi="Cambria"/>
        </w:rPr>
        <w:t>,</w:t>
      </w:r>
      <w:r w:rsidRPr="006E1174">
        <w:rPr>
          <w:rFonts w:ascii="Cambria" w:hAnsi="Cambria"/>
        </w:rPr>
        <w:t xml:space="preserve"> provide the</w:t>
      </w:r>
      <w:r w:rsidR="00E177CF">
        <w:rPr>
          <w:rFonts w:ascii="Cambria" w:hAnsi="Cambria"/>
        </w:rPr>
        <w:t xml:space="preserve"> number of the</w:t>
      </w:r>
      <w:r w:rsidRPr="006E1174">
        <w:rPr>
          <w:rFonts w:ascii="Cambria" w:hAnsi="Cambria"/>
        </w:rPr>
        <w:t xml:space="preserve"> week and</w:t>
      </w:r>
      <w:r w:rsidR="00E177CF">
        <w:rPr>
          <w:rFonts w:ascii="Cambria" w:hAnsi="Cambria"/>
        </w:rPr>
        <w:t xml:space="preserve"> the</w:t>
      </w:r>
      <w:r w:rsidRPr="006E1174">
        <w:rPr>
          <w:rFonts w:ascii="Cambria" w:hAnsi="Cambria"/>
        </w:rPr>
        <w:t xml:space="preserve"> month w</w:t>
      </w:r>
      <w:r w:rsidR="00E735C4">
        <w:rPr>
          <w:rFonts w:ascii="Cambria" w:hAnsi="Cambria"/>
        </w:rPr>
        <w:t>ithin each of the four calendar quarters</w:t>
      </w:r>
      <w:r w:rsidR="00E177CF">
        <w:rPr>
          <w:rFonts w:ascii="Cambria" w:hAnsi="Cambria"/>
        </w:rPr>
        <w:t xml:space="preserve"> you will sample</w:t>
      </w:r>
      <w:r w:rsidR="00E735C4">
        <w:rPr>
          <w:rFonts w:ascii="Cambria" w:hAnsi="Cambria"/>
        </w:rPr>
        <w:t>.</w:t>
      </w:r>
      <w:r w:rsidR="00351DE2">
        <w:rPr>
          <w:rFonts w:ascii="Cambria" w:hAnsi="Cambria"/>
        </w:rPr>
        <w:t xml:space="preserve">  </w:t>
      </w:r>
      <w:r w:rsidR="00365561">
        <w:rPr>
          <w:rFonts w:ascii="Cambria" w:hAnsi="Cambria"/>
        </w:rPr>
        <w:t>For example: write “1</w:t>
      </w:r>
      <w:r w:rsidR="00365561" w:rsidRPr="00365561">
        <w:rPr>
          <w:rFonts w:ascii="Cambria" w:hAnsi="Cambria"/>
          <w:vertAlign w:val="superscript"/>
        </w:rPr>
        <w:t>st</w:t>
      </w:r>
      <w:r w:rsidR="00365561">
        <w:rPr>
          <w:rFonts w:ascii="Cambria" w:hAnsi="Cambria"/>
        </w:rPr>
        <w:t xml:space="preserve"> week of February” in Calendar Quarter 1, “1</w:t>
      </w:r>
      <w:r w:rsidR="00365561" w:rsidRPr="00365561">
        <w:rPr>
          <w:rFonts w:ascii="Cambria" w:hAnsi="Cambria"/>
          <w:vertAlign w:val="superscript"/>
        </w:rPr>
        <w:t>st</w:t>
      </w:r>
      <w:r w:rsidR="00365561">
        <w:rPr>
          <w:rFonts w:ascii="Cambria" w:hAnsi="Cambria"/>
        </w:rPr>
        <w:t xml:space="preserve"> week of May” in Calendar Quarter 2, etc. </w:t>
      </w:r>
    </w:p>
    <w:p w:rsidR="00C44289" w:rsidRPr="006E1174" w:rsidRDefault="005258E9" w:rsidP="00E469B9">
      <w:pPr>
        <w:spacing w:after="0"/>
        <w:rPr>
          <w:rFonts w:ascii="Cambria" w:hAnsi="Cambria"/>
        </w:rPr>
      </w:pPr>
      <w:r w:rsidRPr="006E1174">
        <w:rPr>
          <w:rFonts w:ascii="Cambria" w:hAnsi="Cambria"/>
        </w:rPr>
        <w:t xml:space="preserve"> </w:t>
      </w:r>
    </w:p>
    <w:p w:rsidR="00C44289" w:rsidRPr="006E1174" w:rsidRDefault="00C44289" w:rsidP="00E469B9">
      <w:pPr>
        <w:spacing w:after="0"/>
        <w:ind w:left="-90"/>
        <w:rPr>
          <w:rFonts w:ascii="Cambria" w:hAnsi="Cambria"/>
          <w:b/>
        </w:rPr>
      </w:pPr>
      <w:r w:rsidRPr="006E1174">
        <w:rPr>
          <w:rFonts w:ascii="Cambria" w:hAnsi="Cambria"/>
          <w:b/>
        </w:rPr>
        <w:t xml:space="preserve">Compliance </w:t>
      </w:r>
      <w:r w:rsidR="00351DE2">
        <w:rPr>
          <w:rFonts w:ascii="Cambria" w:hAnsi="Cambria"/>
          <w:b/>
        </w:rPr>
        <w:t>Calculation Procedures</w:t>
      </w:r>
      <w:r w:rsidR="00E177CF">
        <w:rPr>
          <w:rFonts w:ascii="Cambria" w:hAnsi="Cambria"/>
          <w:b/>
        </w:rPr>
        <w:t xml:space="preserve"> (check one):</w:t>
      </w:r>
    </w:p>
    <w:p w:rsidR="00C44289" w:rsidRPr="00E177CF" w:rsidRDefault="002D1506" w:rsidP="00E469B9">
      <w:pPr>
        <w:spacing w:after="0"/>
        <w:ind w:left="-90"/>
        <w:rPr>
          <w:rFonts w:ascii="Cambria" w:hAnsi="Cambria"/>
        </w:rPr>
      </w:pPr>
      <w:sdt>
        <w:sdtPr>
          <w:rPr>
            <w:rFonts w:ascii="Cambria" w:hAnsi="Cambria"/>
          </w:rPr>
          <w:id w:val="-1125544007"/>
          <w14:checkbox>
            <w14:checked w14:val="0"/>
            <w14:checkedState w14:val="2612" w14:font="MS Gothic"/>
            <w14:uncheckedState w14:val="2610" w14:font="MS Gothic"/>
          </w14:checkbox>
        </w:sdtPr>
        <w:sdtEndPr/>
        <w:sdtContent>
          <w:r w:rsidR="00666A5D">
            <w:rPr>
              <w:rFonts w:ascii="MS Gothic" w:eastAsia="MS Gothic" w:hAnsi="MS Gothic" w:hint="eastAsia"/>
            </w:rPr>
            <w:t>☐</w:t>
          </w:r>
        </w:sdtContent>
      </w:sdt>
      <w:r w:rsidR="00E177CF">
        <w:rPr>
          <w:rFonts w:ascii="Cambria" w:hAnsi="Cambria"/>
        </w:rPr>
        <w:t xml:space="preserve"> This system is monitoring yearly or less frequently (i.e. every 3 years). Compliance is calculated by determining if each sample result for each monitoring location is ≤ the maximum contaminant level (MCL).</w:t>
      </w:r>
      <w:r w:rsidR="004F46AB">
        <w:rPr>
          <w:rFonts w:ascii="Cambria" w:hAnsi="Cambria"/>
        </w:rPr>
        <w:t xml:space="preserve"> </w:t>
      </w:r>
    </w:p>
    <w:p w:rsidR="00237DEF" w:rsidRDefault="002D1506" w:rsidP="00EB335B">
      <w:pPr>
        <w:pStyle w:val="ListParagraph"/>
        <w:spacing w:after="80"/>
        <w:ind w:left="-90"/>
        <w:rPr>
          <w:rFonts w:ascii="Cambria" w:hAnsi="Cambria"/>
          <w:i/>
        </w:rPr>
      </w:pPr>
      <w:sdt>
        <w:sdtPr>
          <w:rPr>
            <w:rFonts w:ascii="Cambria" w:hAnsi="Cambria"/>
          </w:rPr>
          <w:id w:val="990832255"/>
          <w14:checkbox>
            <w14:checked w14:val="1"/>
            <w14:checkedState w14:val="2612" w14:font="MS Gothic"/>
            <w14:uncheckedState w14:val="2610" w14:font="MS Gothic"/>
          </w14:checkbox>
        </w:sdtPr>
        <w:sdtEndPr/>
        <w:sdtContent>
          <w:r w:rsidR="00666A5D">
            <w:rPr>
              <w:rFonts w:ascii="MS Gothic" w:eastAsia="MS Gothic" w:hAnsi="MS Gothic" w:hint="eastAsia"/>
            </w:rPr>
            <w:t>☒</w:t>
          </w:r>
        </w:sdtContent>
      </w:sdt>
      <w:r w:rsidR="00E177CF">
        <w:rPr>
          <w:rFonts w:ascii="Cambria" w:hAnsi="Cambria"/>
        </w:rPr>
        <w:t xml:space="preserve"> This system</w:t>
      </w:r>
      <w:r w:rsidR="004F46AB">
        <w:rPr>
          <w:rFonts w:ascii="Cambria" w:hAnsi="Cambria"/>
        </w:rPr>
        <w:t xml:space="preserve"> is monitoring quarterly (every 90 days)</w:t>
      </w:r>
      <w:r w:rsidR="00271676">
        <w:rPr>
          <w:rFonts w:ascii="Cambria" w:hAnsi="Cambria"/>
        </w:rPr>
        <w:t>.</w:t>
      </w:r>
      <w:r w:rsidR="004F46AB">
        <w:rPr>
          <w:rFonts w:ascii="Cambria" w:hAnsi="Cambria"/>
        </w:rPr>
        <w:t xml:space="preserve"> Compliance is calculated by determining for each monitoring location the Locational Running Annual Average (</w:t>
      </w:r>
      <w:r w:rsidR="00674788" w:rsidRPr="006E1174">
        <w:rPr>
          <w:rFonts w:ascii="Cambria" w:hAnsi="Cambria"/>
        </w:rPr>
        <w:t>LRAA</w:t>
      </w:r>
      <w:r w:rsidR="004F46AB">
        <w:rPr>
          <w:rFonts w:ascii="Cambria" w:hAnsi="Cambria"/>
        </w:rPr>
        <w:t>)</w:t>
      </w:r>
      <w:r w:rsidR="00674788" w:rsidRPr="006E1174">
        <w:rPr>
          <w:rFonts w:ascii="Cambria" w:hAnsi="Cambria"/>
        </w:rPr>
        <w:t xml:space="preserve"> </w:t>
      </w:r>
      <w:r w:rsidR="004F46AB">
        <w:rPr>
          <w:rFonts w:ascii="Cambria" w:hAnsi="Cambria"/>
        </w:rPr>
        <w:t xml:space="preserve">based on the sampling results for each quarter </w:t>
      </w:r>
      <w:r w:rsidR="00674788" w:rsidRPr="006E1174">
        <w:rPr>
          <w:rFonts w:ascii="Cambria" w:hAnsi="Cambria"/>
        </w:rPr>
        <w:t xml:space="preserve">= (Q1+Q2+Q3+Q4)/4 </w:t>
      </w:r>
      <w:r w:rsidR="00F35A53" w:rsidRPr="006E1174">
        <w:rPr>
          <w:rFonts w:ascii="Cambria" w:hAnsi="Cambria"/>
        </w:rPr>
        <w:t>and determin</w:t>
      </w:r>
      <w:r w:rsidR="00365561">
        <w:rPr>
          <w:rFonts w:ascii="Cambria" w:hAnsi="Cambria"/>
        </w:rPr>
        <w:t>ing</w:t>
      </w:r>
      <w:r w:rsidR="00F35A53" w:rsidRPr="006E1174">
        <w:rPr>
          <w:rFonts w:ascii="Cambria" w:hAnsi="Cambria"/>
        </w:rPr>
        <w:t xml:space="preserve"> if each LRAA is ≤</w:t>
      </w:r>
      <w:r w:rsidR="00674788" w:rsidRPr="006E1174">
        <w:rPr>
          <w:rFonts w:ascii="Cambria" w:hAnsi="Cambria"/>
        </w:rPr>
        <w:t xml:space="preserve"> MCL</w:t>
      </w:r>
      <w:r w:rsidR="00565EA7">
        <w:rPr>
          <w:rFonts w:ascii="Cambria" w:hAnsi="Cambria"/>
        </w:rPr>
        <w:t>.</w:t>
      </w:r>
    </w:p>
    <w:p w:rsidR="00537E50" w:rsidRPr="00EB335B" w:rsidRDefault="004F46AB" w:rsidP="00867F3C">
      <w:pPr>
        <w:pStyle w:val="ListParagraph"/>
        <w:spacing w:after="80"/>
        <w:ind w:left="-90"/>
        <w:rPr>
          <w:rFonts w:ascii="Cambria" w:hAnsi="Cambria"/>
          <w:b/>
        </w:rPr>
      </w:pPr>
      <w:r w:rsidRPr="004F46AB">
        <w:rPr>
          <w:rFonts w:ascii="Cambria" w:hAnsi="Cambria"/>
          <w:i/>
        </w:rPr>
        <w:t>Note that f</w:t>
      </w:r>
      <w:r w:rsidR="00F35A53" w:rsidRPr="004F46AB">
        <w:rPr>
          <w:rFonts w:ascii="Cambria" w:hAnsi="Cambria"/>
          <w:i/>
        </w:rPr>
        <w:t xml:space="preserve">or </w:t>
      </w:r>
      <w:r w:rsidRPr="004F46AB">
        <w:rPr>
          <w:rFonts w:ascii="Cambria" w:hAnsi="Cambria"/>
          <w:i/>
        </w:rPr>
        <w:t xml:space="preserve">samples taken </w:t>
      </w:r>
      <w:r w:rsidR="00F35A53" w:rsidRPr="004F46AB">
        <w:rPr>
          <w:rFonts w:ascii="Cambria" w:hAnsi="Cambria"/>
          <w:i/>
        </w:rPr>
        <w:t>more frequent</w:t>
      </w:r>
      <w:r w:rsidRPr="004F46AB">
        <w:rPr>
          <w:rFonts w:ascii="Cambria" w:hAnsi="Cambria"/>
          <w:i/>
        </w:rPr>
        <w:t>ly</w:t>
      </w:r>
      <w:r w:rsidR="00F35A53" w:rsidRPr="004F46AB">
        <w:rPr>
          <w:rFonts w:ascii="Cambria" w:hAnsi="Cambria"/>
          <w:i/>
        </w:rPr>
        <w:t xml:space="preserve"> than quarterly</w:t>
      </w:r>
      <w:r w:rsidRPr="004F46AB">
        <w:rPr>
          <w:rFonts w:ascii="Cambria" w:hAnsi="Cambria"/>
          <w:i/>
        </w:rPr>
        <w:t xml:space="preserve">, calculate the </w:t>
      </w:r>
      <w:r w:rsidR="00F35A53" w:rsidRPr="004F46AB">
        <w:rPr>
          <w:rFonts w:ascii="Cambria" w:hAnsi="Cambria"/>
          <w:i/>
        </w:rPr>
        <w:t xml:space="preserve">quarterly average of all samples taken for the quarter </w:t>
      </w:r>
      <w:r w:rsidRPr="004F46AB">
        <w:rPr>
          <w:rFonts w:ascii="Cambria" w:hAnsi="Cambria"/>
          <w:i/>
        </w:rPr>
        <w:t xml:space="preserve">at that location </w:t>
      </w:r>
      <w:r w:rsidR="00F35A53" w:rsidRPr="004F46AB">
        <w:rPr>
          <w:rFonts w:ascii="Cambria" w:hAnsi="Cambria"/>
          <w:i/>
        </w:rPr>
        <w:t>and then calculate LRAA = (Q1+Q2+Q3+Q4)/4 and determine if LRAA is ≤ MCL</w:t>
      </w:r>
      <w:r w:rsidRPr="004F46AB">
        <w:rPr>
          <w:rFonts w:ascii="Cambria" w:hAnsi="Cambria"/>
          <w:i/>
        </w:rPr>
        <w:t>.</w:t>
      </w:r>
    </w:p>
    <w:p w:rsidR="00537E50" w:rsidRDefault="00271676" w:rsidP="00867F3C">
      <w:pPr>
        <w:spacing w:before="80" w:after="0"/>
        <w:ind w:hanging="90"/>
        <w:rPr>
          <w:rFonts w:ascii="Cambria" w:hAnsi="Cambria"/>
        </w:rPr>
      </w:pPr>
      <w:r w:rsidRPr="00365561">
        <w:rPr>
          <w:rFonts w:ascii="Cambria" w:hAnsi="Cambria"/>
        </w:rPr>
        <w:t>Keep this record on file</w:t>
      </w:r>
      <w:r w:rsidR="00365561" w:rsidRPr="00365561">
        <w:rPr>
          <w:rFonts w:ascii="Cambria" w:hAnsi="Cambria"/>
        </w:rPr>
        <w:t xml:space="preserve"> for ten (10) years</w:t>
      </w:r>
      <w:r w:rsidRPr="00365561">
        <w:rPr>
          <w:rFonts w:ascii="Cambria" w:hAnsi="Cambria"/>
        </w:rPr>
        <w:t>.</w:t>
      </w:r>
      <w:r w:rsidR="00537E50">
        <w:rPr>
          <w:rFonts w:ascii="Cambria" w:hAnsi="Cambria"/>
        </w:rPr>
        <w:br w:type="page"/>
      </w:r>
    </w:p>
    <w:p w:rsidR="00537E50" w:rsidRDefault="00537E50" w:rsidP="00537E50">
      <w:pPr>
        <w:spacing w:after="0" w:line="240" w:lineRule="auto"/>
        <w:jc w:val="center"/>
        <w:rPr>
          <w:rFonts w:ascii="Arial" w:hAnsi="Arial" w:cs="Arial"/>
          <w:b/>
          <w:sz w:val="24"/>
          <w:szCs w:val="24"/>
        </w:rPr>
      </w:pPr>
    </w:p>
    <w:p w:rsidR="00537E50" w:rsidRDefault="00537E50" w:rsidP="00537E50">
      <w:pPr>
        <w:spacing w:after="0" w:line="240" w:lineRule="auto"/>
        <w:jc w:val="center"/>
        <w:rPr>
          <w:rFonts w:ascii="Arial" w:hAnsi="Arial" w:cs="Arial"/>
          <w:b/>
          <w:sz w:val="24"/>
          <w:szCs w:val="24"/>
        </w:rPr>
      </w:pPr>
      <w:r>
        <w:rPr>
          <w:rFonts w:ascii="Arial" w:hAnsi="Arial" w:cs="Arial"/>
          <w:b/>
          <w:sz w:val="24"/>
          <w:szCs w:val="24"/>
        </w:rPr>
        <w:t xml:space="preserve">Instructions for </w:t>
      </w:r>
      <w:r w:rsidR="00766C2D">
        <w:rPr>
          <w:rFonts w:ascii="Arial" w:hAnsi="Arial" w:cs="Arial"/>
          <w:b/>
          <w:sz w:val="24"/>
          <w:szCs w:val="24"/>
        </w:rPr>
        <w:t xml:space="preserve">Stage 2 DBP </w:t>
      </w:r>
      <w:r w:rsidRPr="00D437C4">
        <w:rPr>
          <w:rFonts w:ascii="Arial" w:hAnsi="Arial" w:cs="Arial"/>
          <w:b/>
          <w:sz w:val="24"/>
          <w:szCs w:val="24"/>
        </w:rPr>
        <w:t>Compliance Monitoring Plan</w:t>
      </w:r>
    </w:p>
    <w:p w:rsidR="00537E50" w:rsidRPr="00D437C4" w:rsidRDefault="00537E50" w:rsidP="00537E50">
      <w:pPr>
        <w:spacing w:after="0" w:line="240" w:lineRule="auto"/>
        <w:jc w:val="center"/>
        <w:rPr>
          <w:rFonts w:ascii="Arial" w:hAnsi="Arial" w:cs="Arial"/>
          <w:b/>
          <w:sz w:val="24"/>
          <w:szCs w:val="24"/>
        </w:rPr>
      </w:pPr>
    </w:p>
    <w:p w:rsidR="00537E50" w:rsidRPr="00E27F87" w:rsidRDefault="00537E50" w:rsidP="00537E50">
      <w:pPr>
        <w:spacing w:after="0" w:line="240" w:lineRule="auto"/>
        <w:rPr>
          <w:rFonts w:ascii="Arial" w:hAnsi="Arial" w:cs="Arial"/>
          <w:i/>
          <w:sz w:val="20"/>
          <w:szCs w:val="20"/>
        </w:rPr>
      </w:pPr>
      <w:r w:rsidRPr="00E27F87">
        <w:rPr>
          <w:rFonts w:ascii="Arial" w:hAnsi="Arial" w:cs="Arial"/>
          <w:i/>
          <w:sz w:val="20"/>
          <w:szCs w:val="20"/>
        </w:rPr>
        <w:t>A compliance monitoring plan includes: 1) monitoring locations, 2) monitoring dates and 3) compliance calculation procedures.</w:t>
      </w:r>
    </w:p>
    <w:p w:rsidR="00537E50" w:rsidRPr="00E27F87" w:rsidRDefault="00537E50" w:rsidP="00537E50">
      <w:pPr>
        <w:spacing w:after="0" w:line="240" w:lineRule="auto"/>
        <w:rPr>
          <w:rFonts w:ascii="Arial" w:hAnsi="Arial" w:cs="Arial"/>
          <w:i/>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that submitted an IDSE report: </w:t>
      </w:r>
      <w:r w:rsidRPr="00E27F87">
        <w:rPr>
          <w:rFonts w:ascii="Arial" w:hAnsi="Arial" w:cs="Arial"/>
          <w:sz w:val="20"/>
          <w:szCs w:val="20"/>
        </w:rPr>
        <w:t xml:space="preserve">Systems that conducted an initial distribution system evaluation (IDSE) were required to include monitoring locations and dates in their IDSE report. If the report included compliance calculation procedures, then the report can serve as the Compliance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with a Very Small System Waiver, a 40/30 Certification, or Non-Transient Non-Community Systems: </w:t>
      </w:r>
      <w:r w:rsidRPr="00E27F87">
        <w:rPr>
          <w:rFonts w:ascii="Arial" w:hAnsi="Arial" w:cs="Arial"/>
          <w:sz w:val="20"/>
          <w:szCs w:val="20"/>
        </w:rPr>
        <w:t xml:space="preserve">These systems must develop a Compliance Monitoring Plan. Some of these systems may be able to comply by updating their Stage 1 DBP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sz w:val="20"/>
          <w:szCs w:val="20"/>
        </w:rPr>
        <w:t xml:space="preserve">Systems with </w:t>
      </w:r>
      <w:r w:rsidRPr="00E27F87">
        <w:rPr>
          <w:rFonts w:ascii="Arial" w:hAnsi="Arial" w:cs="Arial"/>
          <w:sz w:val="20"/>
          <w:szCs w:val="20"/>
          <w:u w:val="single"/>
        </w:rPr>
        <w:t>more Stage 1 sites</w:t>
      </w:r>
      <w:r w:rsidRPr="00E27F87">
        <w:rPr>
          <w:rFonts w:ascii="Arial" w:hAnsi="Arial" w:cs="Arial"/>
          <w:sz w:val="20"/>
          <w:szCs w:val="20"/>
        </w:rPr>
        <w:t xml:space="preserve"> than the number required for Stage 2: Select sites by alternating between locations representing high TTHM and high HAA5 levels until the required number of Stage 2 locations have been identified.</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b/>
          <w:sz w:val="20"/>
          <w:szCs w:val="20"/>
          <w:u w:val="single"/>
        </w:rPr>
      </w:pPr>
      <w:r w:rsidRPr="00E27F87">
        <w:rPr>
          <w:rFonts w:ascii="Arial" w:hAnsi="Arial" w:cs="Arial"/>
          <w:sz w:val="20"/>
          <w:szCs w:val="20"/>
        </w:rPr>
        <w:t xml:space="preserve">Systems with </w:t>
      </w:r>
      <w:r w:rsidRPr="00E27F87">
        <w:rPr>
          <w:rFonts w:ascii="Arial" w:hAnsi="Arial" w:cs="Arial"/>
          <w:sz w:val="20"/>
          <w:szCs w:val="20"/>
          <w:u w:val="single"/>
        </w:rPr>
        <w:t>fewer Stage 1 sites</w:t>
      </w:r>
      <w:r w:rsidRPr="00E27F87">
        <w:rPr>
          <w:rFonts w:ascii="Arial" w:hAnsi="Arial" w:cs="Arial"/>
          <w:sz w:val="20"/>
          <w:szCs w:val="20"/>
        </w:rPr>
        <w:t xml:space="preserve"> than the number required for Stage 2:  Select sites by using the existing Stage 1 sites then select additional locations by identifying sites in the distribution system with anticipated high DBP levels, alternating locations representing high TTHM and high HAA5 levels, and starting with high TTHM. The plan must include the rationale for identifying locations.</w:t>
      </w:r>
    </w:p>
    <w:p w:rsidR="00537E50" w:rsidRDefault="00537E50" w:rsidP="00537E50">
      <w:pPr>
        <w:pStyle w:val="ListParagraph"/>
        <w:spacing w:after="0" w:line="240" w:lineRule="auto"/>
        <w:ind w:left="360"/>
        <w:rPr>
          <w:rFonts w:ascii="Arial" w:hAnsi="Arial" w:cs="Arial"/>
          <w:b/>
          <w:sz w:val="20"/>
          <w:szCs w:val="20"/>
          <w:u w:val="single"/>
        </w:rPr>
      </w:pPr>
    </w:p>
    <w:p w:rsidR="00537E50" w:rsidRDefault="00537E50" w:rsidP="00537E50">
      <w:pPr>
        <w:pStyle w:val="ListParagraph"/>
        <w:spacing w:after="0" w:line="240" w:lineRule="auto"/>
        <w:ind w:left="360"/>
        <w:rPr>
          <w:rFonts w:ascii="Arial" w:hAnsi="Arial" w:cs="Arial"/>
          <w:sz w:val="20"/>
          <w:szCs w:val="20"/>
        </w:rPr>
      </w:pPr>
      <w:r w:rsidRPr="00CF19F3">
        <w:rPr>
          <w:rFonts w:ascii="Arial" w:hAnsi="Arial" w:cs="Arial"/>
          <w:b/>
          <w:sz w:val="20"/>
          <w:szCs w:val="20"/>
          <w:u w:val="single"/>
        </w:rPr>
        <w:t>TTHM Sites</w:t>
      </w:r>
      <w:r w:rsidRPr="00493DB1">
        <w:rPr>
          <w:rFonts w:ascii="Arial" w:hAnsi="Arial" w:cs="Arial"/>
          <w:sz w:val="20"/>
          <w:szCs w:val="20"/>
        </w:rPr>
        <w:t xml:space="preserve">: Choose high TTHM sites that are representative of areas in the distribution system where you expect to find higher levels of TTHM throughout the year. TTHM formation is influenced by residence time (older water = higher TTHMs). </w:t>
      </w:r>
    </w:p>
    <w:p w:rsidR="00537E50" w:rsidRDefault="00537E50" w:rsidP="00537E50">
      <w:pPr>
        <w:spacing w:after="0" w:line="240" w:lineRule="auto"/>
        <w:ind w:left="360"/>
        <w:contextualSpacing/>
        <w:rPr>
          <w:rFonts w:ascii="Arial" w:hAnsi="Arial" w:cs="Arial"/>
          <w:sz w:val="20"/>
          <w:szCs w:val="20"/>
        </w:rPr>
      </w:pPr>
      <w:r w:rsidRPr="00CF19F3">
        <w:rPr>
          <w:rFonts w:ascii="Arial" w:hAnsi="Arial" w:cs="Arial"/>
          <w:b/>
          <w:sz w:val="20"/>
          <w:szCs w:val="20"/>
          <w:u w:val="single"/>
        </w:rPr>
        <w:t>HAA5 Sites</w:t>
      </w:r>
      <w:r w:rsidRPr="00493DB1">
        <w:rPr>
          <w:rFonts w:ascii="Arial" w:hAnsi="Arial" w:cs="Arial"/>
          <w:sz w:val="20"/>
          <w:szCs w:val="20"/>
          <w:u w:val="single"/>
        </w:rPr>
        <w:t>:</w:t>
      </w:r>
      <w:r w:rsidRPr="00493DB1">
        <w:rPr>
          <w:rFonts w:ascii="Arial" w:hAnsi="Arial" w:cs="Arial"/>
          <w:sz w:val="20"/>
          <w:szCs w:val="20"/>
        </w:rPr>
        <w:t xml:space="preserve">  Choose high HAA5 sites that are representative of areas in the distribution system where you expect to find higher levels of HAA5 throughout the year. HAA5 formation and decomposition seems to follow a pattern that is different from that of TTHM. Therefore, a high HAA5 site will not necessarily be the site with the longest residence time and may even be at a site with shorter residence time. </w:t>
      </w:r>
    </w:p>
    <w:p w:rsidR="00537E50" w:rsidRDefault="00537E50" w:rsidP="00537E50">
      <w:pPr>
        <w:pStyle w:val="ListParagraph"/>
        <w:spacing w:after="0" w:line="240" w:lineRule="auto"/>
        <w:ind w:left="360"/>
        <w:rPr>
          <w:rFonts w:ascii="Arial" w:hAnsi="Arial" w:cs="Arial"/>
          <w:sz w:val="20"/>
          <w:szCs w:val="20"/>
        </w:rPr>
      </w:pPr>
    </w:p>
    <w:tbl>
      <w:tblPr>
        <w:tblStyle w:val="TableGrid"/>
        <w:tblW w:w="0" w:type="auto"/>
        <w:tblInd w:w="360" w:type="dxa"/>
        <w:tblLook w:val="04A0" w:firstRow="1" w:lastRow="0" w:firstColumn="1" w:lastColumn="0" w:noHBand="0" w:noVBand="1"/>
      </w:tblPr>
      <w:tblGrid>
        <w:gridCol w:w="7127"/>
        <w:gridCol w:w="7129"/>
      </w:tblGrid>
      <w:tr w:rsidR="00537E50" w:rsidTr="00590210">
        <w:tc>
          <w:tcPr>
            <w:tcW w:w="7127"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TTHM sites include</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HAA5 sites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in areas physically located at the end of a water main or group of water mains without looping back to the main portion of the distribution system, at or before the last group of customers.</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Areas with low but detectable disinfectant residual, which indicates likely advanced residence time but not sites likely to have biofilm.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Sparsely populated areas with low flows or lightly developed areas in which there is little movement of water.</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at or before the last group of customers.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Downstream of storage facilities – especially those with a common inlet and outlet prior to the last fire hydrant.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In mixing zones where water from different sources combine within the distribution system.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Low or no residual – indicates likely advanced residence time.</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Downstream of storage tanks.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Immediately after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Prior to the last fire hydrant.</w:t>
            </w:r>
          </w:p>
        </w:tc>
      </w:tr>
      <w:tr w:rsidR="00537E50" w:rsidTr="00590210">
        <w:tc>
          <w:tcPr>
            <w:tcW w:w="7127" w:type="dxa"/>
          </w:tcPr>
          <w:p w:rsidR="00537E50" w:rsidRPr="00E86CE8" w:rsidRDefault="00537E50" w:rsidP="00590210">
            <w:pPr>
              <w:pStyle w:val="ListParagraph"/>
              <w:ind w:left="0"/>
              <w:rPr>
                <w:rFonts w:ascii="Arial" w:hAnsi="Arial" w:cs="Arial"/>
                <w:b/>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After booster chlorination – where formation will have increased due to more available disinfectant and where any biodegradation will be halted.</w:t>
            </w:r>
          </w:p>
        </w:tc>
      </w:tr>
      <w:tr w:rsidR="00537E50" w:rsidTr="00590210">
        <w:tc>
          <w:tcPr>
            <w:tcW w:w="14256" w:type="dxa"/>
            <w:gridSpan w:val="2"/>
          </w:tcPr>
          <w:p w:rsidR="00537E50" w:rsidRDefault="00537E50" w:rsidP="00590210">
            <w:pPr>
              <w:pStyle w:val="ListParagraph"/>
              <w:ind w:left="0"/>
              <w:rPr>
                <w:rFonts w:ascii="Arial" w:hAnsi="Arial" w:cs="Arial"/>
                <w:sz w:val="20"/>
                <w:szCs w:val="20"/>
              </w:rPr>
            </w:pPr>
          </w:p>
        </w:tc>
      </w:tr>
      <w:tr w:rsidR="00537E50" w:rsidTr="00590210">
        <w:tc>
          <w:tcPr>
            <w:tcW w:w="7127" w:type="dxa"/>
          </w:tcPr>
          <w:p w:rsidR="00537E50" w:rsidRPr="00D05E34" w:rsidRDefault="00537E50" w:rsidP="00590210">
            <w:pPr>
              <w:pStyle w:val="ListParagraph"/>
              <w:ind w:left="0"/>
              <w:rPr>
                <w:rFonts w:ascii="Arial" w:hAnsi="Arial" w:cs="Arial"/>
                <w:b/>
                <w:sz w:val="20"/>
                <w:szCs w:val="20"/>
              </w:rPr>
            </w:pPr>
            <w:r w:rsidRPr="00D05E34">
              <w:rPr>
                <w:rFonts w:ascii="Arial" w:hAnsi="Arial" w:cs="Arial"/>
                <w:b/>
                <w:sz w:val="20"/>
                <w:szCs w:val="20"/>
              </w:rPr>
              <w:t>THHM sites to avoid</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HAA5 sites to avoid</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At dead-ends where there are no customers. The sampling should be representative of water that is being consumed, not stagnant.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At a dead-end where there are no customers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Sites immediately prior to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Sites immediately prior to booster chlorination</w:t>
            </w:r>
          </w:p>
          <w:p w:rsidR="00537E50" w:rsidRPr="00E86CE8" w:rsidRDefault="00537E50" w:rsidP="00590210">
            <w:pPr>
              <w:pStyle w:val="ListParagraph"/>
              <w:ind w:left="0"/>
              <w:rPr>
                <w:rFonts w:ascii="Arial" w:hAnsi="Arial" w:cs="Arial"/>
                <w:sz w:val="18"/>
                <w:szCs w:val="18"/>
              </w:rPr>
            </w:pP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with known biofilm problems.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where there is no disinfectant residual or areas with difficulty maintaining a disinfectant residual (&lt;0.2 mg/L chlorine or &lt;0.5 mg/L chloramines)</w:t>
            </w:r>
          </w:p>
        </w:tc>
      </w:tr>
    </w:tbl>
    <w:p w:rsidR="00537E50" w:rsidRPr="00537E50" w:rsidRDefault="00537E50" w:rsidP="00537E50">
      <w:pPr>
        <w:tabs>
          <w:tab w:val="left" w:pos="-90"/>
        </w:tabs>
        <w:spacing w:before="240" w:after="80" w:line="240" w:lineRule="auto"/>
        <w:ind w:left="-86"/>
        <w:rPr>
          <w:rFonts w:ascii="Cambria" w:hAnsi="Cambria"/>
          <w:i/>
        </w:rPr>
      </w:pPr>
      <w:r w:rsidRPr="00537E50">
        <w:rPr>
          <w:rFonts w:ascii="Cambria" w:hAnsi="Cambria"/>
          <w:i/>
        </w:rPr>
        <w:lastRenderedPageBreak/>
        <w:t>For more Stage 2 compliance information, please visit EPA’s website at: http://water.epa.gov/lawsregs/rulesregs/sdwa/stage2/compliance.cfm.</w:t>
      </w:r>
    </w:p>
    <w:sectPr w:rsidR="00537E50" w:rsidRPr="00537E50" w:rsidSect="00EB335B">
      <w:headerReference w:type="even" r:id="rId9"/>
      <w:headerReference w:type="default" r:id="rId10"/>
      <w:footerReference w:type="even" r:id="rId11"/>
      <w:footerReference w:type="default" r:id="rId12"/>
      <w:headerReference w:type="first" r:id="rId13"/>
      <w:footerReference w:type="first" r:id="rId14"/>
      <w:pgSz w:w="15840" w:h="12240" w:orient="landscape"/>
      <w:pgMar w:top="144" w:right="720" w:bottom="144"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506" w:rsidRDefault="002D1506" w:rsidP="00E469B9">
      <w:pPr>
        <w:spacing w:after="0" w:line="240" w:lineRule="auto"/>
      </w:pPr>
      <w:r>
        <w:separator/>
      </w:r>
    </w:p>
  </w:endnote>
  <w:endnote w:type="continuationSeparator" w:id="0">
    <w:p w:rsidR="002D1506" w:rsidRDefault="002D1506" w:rsidP="00E4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A5D" w:rsidRDefault="00666A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A5D" w:rsidRDefault="00666A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A5D" w:rsidRDefault="00666A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506" w:rsidRDefault="002D1506" w:rsidP="00E469B9">
      <w:pPr>
        <w:spacing w:after="0" w:line="240" w:lineRule="auto"/>
      </w:pPr>
      <w:r>
        <w:separator/>
      </w:r>
    </w:p>
  </w:footnote>
  <w:footnote w:type="continuationSeparator" w:id="0">
    <w:p w:rsidR="002D1506" w:rsidRDefault="002D1506" w:rsidP="00E46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2D150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251167" o:spid="_x0000_s2054" type="#_x0000_t136" style="position:absolute;margin-left:0;margin-top:0;width:687pt;height:87.75pt;rotation:315;z-index:-251655168;mso-position-horizontal:center;mso-position-horizontal-relative:margin;mso-position-vertical:center;mso-position-vertical-relative:margin" o:allowincell="f" fillcolor="#7f7f7f [1612]" stroked="f">
          <v:fill opacity=".5"/>
          <v:textpath style="font-family:&quot;Calibri&quot;;font-size:1in" string="EXAMPLE 500 TO 3,300"/>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2D150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251168" o:spid="_x0000_s2055" type="#_x0000_t136" style="position:absolute;margin-left:0;margin-top:0;width:687pt;height:87.75pt;rotation:315;z-index:-251653120;mso-position-horizontal:center;mso-position-horizontal-relative:margin;mso-position-vertical:center;mso-position-vertical-relative:margin" o:allowincell="f" fillcolor="#7f7f7f [1612]" stroked="f">
          <v:fill opacity=".5"/>
          <v:textpath style="font-family:&quot;Calibri&quot;;font-size:1in" string="EXAMPLE 500 TO 3,300"/>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2D150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251166" o:spid="_x0000_s2053" type="#_x0000_t136" style="position:absolute;margin-left:0;margin-top:0;width:687pt;height:87.75pt;rotation:315;z-index:-251657216;mso-position-horizontal:center;mso-position-horizontal-relative:margin;mso-position-vertical:center;mso-position-vertical-relative:margin" o:allowincell="f" fillcolor="#7f7f7f [1612]" stroked="f">
          <v:fill opacity=".5"/>
          <v:textpath style="font-family:&quot;Calibri&quot;;font-size:1in" string="EXAMPLE 500 TO 3,30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06079"/>
    <w:multiLevelType w:val="hybridMultilevel"/>
    <w:tmpl w:val="A8E6ED6E"/>
    <w:lvl w:ilvl="0" w:tplc="D67606B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B19F4"/>
    <w:multiLevelType w:val="hybridMultilevel"/>
    <w:tmpl w:val="84C4DF76"/>
    <w:lvl w:ilvl="0" w:tplc="D62CD29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D679C"/>
    <w:multiLevelType w:val="hybridMultilevel"/>
    <w:tmpl w:val="7976334C"/>
    <w:lvl w:ilvl="0" w:tplc="92EAB6A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79748E"/>
    <w:multiLevelType w:val="hybridMultilevel"/>
    <w:tmpl w:val="A8E00562"/>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800813"/>
    <w:multiLevelType w:val="hybridMultilevel"/>
    <w:tmpl w:val="D82EE10E"/>
    <w:lvl w:ilvl="0" w:tplc="92EAB6AC">
      <w:start w:val="4"/>
      <w:numFmt w:val="bullet"/>
      <w:lvlText w:val=""/>
      <w:lvlJc w:val="left"/>
      <w:pPr>
        <w:ind w:left="1428" w:hanging="360"/>
      </w:pPr>
      <w:rPr>
        <w:rFonts w:ascii="Symbol" w:eastAsiaTheme="minorHAnsi" w:hAnsi="Symbol"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53647060"/>
    <w:multiLevelType w:val="hybridMultilevel"/>
    <w:tmpl w:val="A8E6FF4E"/>
    <w:lvl w:ilvl="0" w:tplc="EF5ADEEC">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trackRevisions/>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01"/>
    <w:rsid w:val="00037037"/>
    <w:rsid w:val="000D77F9"/>
    <w:rsid w:val="002202DD"/>
    <w:rsid w:val="00237DEF"/>
    <w:rsid w:val="00271676"/>
    <w:rsid w:val="00282F8D"/>
    <w:rsid w:val="002D06DC"/>
    <w:rsid w:val="002D1506"/>
    <w:rsid w:val="00314308"/>
    <w:rsid w:val="00351DE2"/>
    <w:rsid w:val="00365561"/>
    <w:rsid w:val="0039240C"/>
    <w:rsid w:val="003C6696"/>
    <w:rsid w:val="00411202"/>
    <w:rsid w:val="00442690"/>
    <w:rsid w:val="004452F1"/>
    <w:rsid w:val="004E29EF"/>
    <w:rsid w:val="004F46AB"/>
    <w:rsid w:val="005258E9"/>
    <w:rsid w:val="00537E50"/>
    <w:rsid w:val="00565EA7"/>
    <w:rsid w:val="005B0379"/>
    <w:rsid w:val="005B522B"/>
    <w:rsid w:val="005E730D"/>
    <w:rsid w:val="0064554E"/>
    <w:rsid w:val="006654AD"/>
    <w:rsid w:val="00666A5D"/>
    <w:rsid w:val="00674788"/>
    <w:rsid w:val="006E1174"/>
    <w:rsid w:val="00766C2D"/>
    <w:rsid w:val="00812717"/>
    <w:rsid w:val="00867F3C"/>
    <w:rsid w:val="008739D5"/>
    <w:rsid w:val="008C3C63"/>
    <w:rsid w:val="009378AB"/>
    <w:rsid w:val="00A10554"/>
    <w:rsid w:val="00A178DE"/>
    <w:rsid w:val="00AE7BFD"/>
    <w:rsid w:val="00B1643F"/>
    <w:rsid w:val="00BE6DA7"/>
    <w:rsid w:val="00C44289"/>
    <w:rsid w:val="00CC197B"/>
    <w:rsid w:val="00CD4D88"/>
    <w:rsid w:val="00D94901"/>
    <w:rsid w:val="00DA3EFE"/>
    <w:rsid w:val="00E155DB"/>
    <w:rsid w:val="00E177CF"/>
    <w:rsid w:val="00E469B9"/>
    <w:rsid w:val="00E72FDF"/>
    <w:rsid w:val="00E735C4"/>
    <w:rsid w:val="00EB335B"/>
    <w:rsid w:val="00F17023"/>
    <w:rsid w:val="00F35A53"/>
    <w:rsid w:val="00F3618B"/>
    <w:rsid w:val="00F75A00"/>
    <w:rsid w:val="00F903BA"/>
    <w:rsid w:val="00FD495A"/>
    <w:rsid w:val="00FF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2AD15-68BE-45A3-A579-AF1356763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Idaho DEQ</Company>
  <LinksUpToDate>false</LinksUpToDate>
  <CharactersWithSpaces>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Cuzmanov</dc:creator>
  <cp:lastModifiedBy>Sharon Keene</cp:lastModifiedBy>
  <cp:revision>2</cp:revision>
  <cp:lastPrinted>2013-06-18T19:57:00Z</cp:lastPrinted>
  <dcterms:created xsi:type="dcterms:W3CDTF">2013-07-18T17:13:00Z</dcterms:created>
  <dcterms:modified xsi:type="dcterms:W3CDTF">2013-07-18T17:13:00Z</dcterms:modified>
</cp:coreProperties>
</file>